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E692F" w14:textId="412F44B6" w:rsidR="00EC141C" w:rsidRDefault="005330E6" w:rsidP="005B0F6B">
      <w:pPr>
        <w:pStyle w:val="Title"/>
      </w:pPr>
      <w:r>
        <w:t>Document Guide</w:t>
      </w:r>
    </w:p>
    <w:p w14:paraId="4D6BC8F1" w14:textId="3B08A2B0" w:rsidR="005330E6" w:rsidRDefault="005330E6" w:rsidP="005330E6"/>
    <w:p w14:paraId="55560B4F" w14:textId="1BBC62F5" w:rsidR="005330E6" w:rsidRPr="005330E6" w:rsidRDefault="005330E6" w:rsidP="005330E6">
      <w:r>
        <w:t xml:space="preserve">This flow sheet provides an overview of the documents needed for county licensure and the minimum review timelines. </w:t>
      </w:r>
    </w:p>
    <w:p w14:paraId="251E984E" w14:textId="04AA5276" w:rsidR="00584655" w:rsidRPr="00A63C55" w:rsidRDefault="00A63C55" w:rsidP="00584655">
      <w:pPr>
        <w:keepNext/>
        <w:keepLines/>
        <w:outlineLvl w:val="0"/>
      </w:pPr>
      <w:r w:rsidRPr="00A63C55">
        <w:t>RLS – Sourcewell Regional Licensing Specialist</w:t>
      </w:r>
    </w:p>
    <w:p w14:paraId="0644B4EF" w14:textId="3511BC04" w:rsidR="00DD5A15" w:rsidRPr="005330E6" w:rsidRDefault="00DD5A15" w:rsidP="00DD5A15">
      <w:pPr>
        <w:rPr>
          <w:rFonts w:eastAsiaTheme="majorEastAsia" w:cstheme="majorBidi"/>
          <w:color w:val="ED8B00" w:themeColor="accent1"/>
          <w:sz w:val="28"/>
          <w:szCs w:val="32"/>
        </w:rPr>
      </w:pPr>
      <w:bookmarkStart w:id="0" w:name="_Hlk13568132"/>
      <w:bookmarkStart w:id="1" w:name="_Hlk1356812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2"/>
        <w:gridCol w:w="2562"/>
        <w:gridCol w:w="2563"/>
        <w:gridCol w:w="2563"/>
      </w:tblGrid>
      <w:tr w:rsidR="00DD5A15" w14:paraId="7E2BC032" w14:textId="77777777" w:rsidTr="002E7E98">
        <w:tc>
          <w:tcPr>
            <w:tcW w:w="2562" w:type="dxa"/>
            <w:shd w:val="clear" w:color="auto" w:fill="506D85" w:themeFill="accent2"/>
          </w:tcPr>
          <w:p w14:paraId="14DDEFF2" w14:textId="333BCFEB" w:rsidR="00DD5A15" w:rsidRDefault="005330E6" w:rsidP="002E7E98">
            <w:pPr>
              <w:pStyle w:val="Tableheading"/>
            </w:pPr>
            <w:r>
              <w:t>Document Name</w:t>
            </w:r>
          </w:p>
        </w:tc>
        <w:tc>
          <w:tcPr>
            <w:tcW w:w="2562" w:type="dxa"/>
            <w:shd w:val="clear" w:color="auto" w:fill="506D85" w:themeFill="accent2"/>
          </w:tcPr>
          <w:p w14:paraId="214AD675" w14:textId="2CD4E776" w:rsidR="00DD5A15" w:rsidRDefault="005330E6" w:rsidP="005330E6">
            <w:pPr>
              <w:pStyle w:val="Tableheading"/>
            </w:pPr>
            <w:r w:rsidRPr="005330E6">
              <w:t>When to review</w:t>
            </w:r>
          </w:p>
        </w:tc>
        <w:tc>
          <w:tcPr>
            <w:tcW w:w="2563" w:type="dxa"/>
            <w:shd w:val="clear" w:color="auto" w:fill="506D85" w:themeFill="accent2"/>
          </w:tcPr>
          <w:p w14:paraId="4F11FB2E" w14:textId="615BB66C" w:rsidR="00DD5A15" w:rsidRDefault="005330E6" w:rsidP="002E7E98">
            <w:r w:rsidRPr="005330E6">
              <w:rPr>
                <w:color w:val="FFFFFF" w:themeColor="background1"/>
                <w:sz w:val="28"/>
              </w:rPr>
              <w:t>Responsibility</w:t>
            </w:r>
            <w:r>
              <w:rPr>
                <w:color w:val="FFFFFF" w:themeColor="background1"/>
                <w:sz w:val="28"/>
              </w:rPr>
              <w:t xml:space="preserve"> to complete</w:t>
            </w:r>
          </w:p>
        </w:tc>
        <w:tc>
          <w:tcPr>
            <w:tcW w:w="2563" w:type="dxa"/>
            <w:shd w:val="clear" w:color="auto" w:fill="506D85" w:themeFill="accent2"/>
          </w:tcPr>
          <w:p w14:paraId="7FDDE1C8" w14:textId="3E7532A2" w:rsidR="00DD5A15" w:rsidRDefault="005330E6" w:rsidP="002E7E98">
            <w:r>
              <w:rPr>
                <w:color w:val="FFFFFF" w:themeColor="background1"/>
                <w:sz w:val="28"/>
              </w:rPr>
              <w:t>Licensing Oversight</w:t>
            </w:r>
          </w:p>
        </w:tc>
      </w:tr>
      <w:tr w:rsidR="00DD5A15" w14:paraId="3C3C843A" w14:textId="77777777" w:rsidTr="002E7E98">
        <w:tc>
          <w:tcPr>
            <w:tcW w:w="2562" w:type="dxa"/>
          </w:tcPr>
          <w:p w14:paraId="42DD5C9B" w14:textId="77777777" w:rsidR="00DD5A15" w:rsidRDefault="005330E6" w:rsidP="002E7E98">
            <w:pPr>
              <w:pStyle w:val="Tablecopy"/>
            </w:pPr>
            <w:r>
              <w:t>Program Plan</w:t>
            </w:r>
          </w:p>
          <w:p w14:paraId="64BC2E02" w14:textId="77777777" w:rsidR="00684802" w:rsidRDefault="00684802" w:rsidP="002E7E98">
            <w:pPr>
              <w:pStyle w:val="Tablecopy"/>
            </w:pPr>
          </w:p>
          <w:p w14:paraId="6F7938D2" w14:textId="74DB39AA" w:rsidR="00684802" w:rsidRDefault="00684802" w:rsidP="002E7E98">
            <w:pPr>
              <w:pStyle w:val="Tablecopy"/>
            </w:pPr>
            <w:r>
              <w:t xml:space="preserve">Think of this like an amenities list. What do you offer </w:t>
            </w:r>
            <w:r w:rsidR="00BD11FC">
              <w:t>and what can someone expect?</w:t>
            </w:r>
          </w:p>
        </w:tc>
        <w:tc>
          <w:tcPr>
            <w:tcW w:w="2562" w:type="dxa"/>
          </w:tcPr>
          <w:p w14:paraId="1885B778" w14:textId="0524A6DF" w:rsidR="00DD5A15" w:rsidRDefault="005330E6" w:rsidP="002E7E98">
            <w:r>
              <w:t>At least at time of relicensing, for a change of premise, or when there are significant changes to the programming or items in the plan</w:t>
            </w:r>
          </w:p>
        </w:tc>
        <w:tc>
          <w:tcPr>
            <w:tcW w:w="2563" w:type="dxa"/>
          </w:tcPr>
          <w:p w14:paraId="5CDC2EB7" w14:textId="5720BC24" w:rsidR="00DD5A15" w:rsidRDefault="005330E6" w:rsidP="002E7E98">
            <w:r>
              <w:t>License holder</w:t>
            </w:r>
          </w:p>
        </w:tc>
        <w:tc>
          <w:tcPr>
            <w:tcW w:w="2563" w:type="dxa"/>
          </w:tcPr>
          <w:p w14:paraId="05F8FE32" w14:textId="4118885A" w:rsidR="00DD5A15" w:rsidRDefault="005330E6" w:rsidP="002E7E98">
            <w:r>
              <w:t xml:space="preserve">Reviewed and signed by </w:t>
            </w:r>
            <w:r w:rsidR="00A63C55">
              <w:t>RLS</w:t>
            </w:r>
          </w:p>
        </w:tc>
      </w:tr>
      <w:tr w:rsidR="00DD5A15" w14:paraId="700D7A01" w14:textId="77777777" w:rsidTr="002E7E98">
        <w:tc>
          <w:tcPr>
            <w:tcW w:w="2562" w:type="dxa"/>
          </w:tcPr>
          <w:p w14:paraId="4B5407C6" w14:textId="77777777" w:rsidR="00DD5A15" w:rsidRDefault="005330E6" w:rsidP="002E7E98">
            <w:r>
              <w:t>Program Abuse Prevention Plan (PAPP)</w:t>
            </w:r>
          </w:p>
          <w:p w14:paraId="3042C9F5" w14:textId="77777777" w:rsidR="00BD11FC" w:rsidRDefault="00BD11FC" w:rsidP="002E7E98"/>
          <w:p w14:paraId="78A98A85" w14:textId="3770C5EE" w:rsidR="00BD11FC" w:rsidRDefault="00BD11FC" w:rsidP="002E7E98">
            <w:r>
              <w:t>Identify potential risks</w:t>
            </w:r>
            <w:r w:rsidR="00732460">
              <w:t xml:space="preserve"> generally related to your home.</w:t>
            </w:r>
          </w:p>
        </w:tc>
        <w:tc>
          <w:tcPr>
            <w:tcW w:w="2562" w:type="dxa"/>
          </w:tcPr>
          <w:p w14:paraId="1B340E46" w14:textId="2CBDEBE9" w:rsidR="00DD5A15" w:rsidRDefault="005330E6" w:rsidP="002E7E98">
            <w:r>
              <w:t>At least annually, for a change of premise, or when there are significant changes to the programming or items in the plan</w:t>
            </w:r>
          </w:p>
        </w:tc>
        <w:tc>
          <w:tcPr>
            <w:tcW w:w="2563" w:type="dxa"/>
          </w:tcPr>
          <w:p w14:paraId="371453F2" w14:textId="220E7F3F" w:rsidR="00DD5A15" w:rsidRDefault="00414D05" w:rsidP="002E7E98">
            <w:r>
              <w:t>License holder</w:t>
            </w:r>
          </w:p>
        </w:tc>
        <w:tc>
          <w:tcPr>
            <w:tcW w:w="2563" w:type="dxa"/>
          </w:tcPr>
          <w:p w14:paraId="3C9C4127" w14:textId="77777777" w:rsidR="00DD5A15" w:rsidRDefault="00A63C55" w:rsidP="002E7E98">
            <w:r>
              <w:t>Reviewed by RLS</w:t>
            </w:r>
          </w:p>
          <w:p w14:paraId="2962CC3A" w14:textId="77777777" w:rsidR="001B2A3C" w:rsidRDefault="001B2A3C" w:rsidP="002E7E98"/>
          <w:p w14:paraId="21E52D74" w14:textId="2FF1EB1F" w:rsidR="001B2A3C" w:rsidRDefault="001B2A3C" w:rsidP="002E7E98">
            <w:r>
              <w:t>Must give a copy to residents/guardians annually</w:t>
            </w:r>
          </w:p>
        </w:tc>
      </w:tr>
      <w:tr w:rsidR="00376DF9" w14:paraId="1ECEC17B" w14:textId="77777777" w:rsidTr="002E7E98">
        <w:tc>
          <w:tcPr>
            <w:tcW w:w="2562" w:type="dxa"/>
          </w:tcPr>
          <w:p w14:paraId="745FE13D" w14:textId="5951574C" w:rsidR="00376DF9" w:rsidRDefault="00376DF9" w:rsidP="002E7E98">
            <w:r>
              <w:t>Workers Compensation Verification</w:t>
            </w:r>
          </w:p>
        </w:tc>
        <w:tc>
          <w:tcPr>
            <w:tcW w:w="2562" w:type="dxa"/>
          </w:tcPr>
          <w:p w14:paraId="1D50D826" w14:textId="1298F0BA" w:rsidR="00376DF9" w:rsidRDefault="00E63E61" w:rsidP="002E7E98">
            <w:r>
              <w:t>Verification form completed at least at time of relicensing</w:t>
            </w:r>
          </w:p>
        </w:tc>
        <w:tc>
          <w:tcPr>
            <w:tcW w:w="2563" w:type="dxa"/>
          </w:tcPr>
          <w:p w14:paraId="18794193" w14:textId="77777777" w:rsidR="00376DF9" w:rsidRDefault="00E63E61" w:rsidP="002E7E98">
            <w:r>
              <w:t>License holder</w:t>
            </w:r>
          </w:p>
          <w:p w14:paraId="4180EE5D" w14:textId="0ECCFEF3" w:rsidR="00617693" w:rsidRDefault="00617693" w:rsidP="002E7E98">
            <w:r>
              <w:t>License holder is also responsible to renew policy as indicated</w:t>
            </w:r>
          </w:p>
        </w:tc>
        <w:tc>
          <w:tcPr>
            <w:tcW w:w="2563" w:type="dxa"/>
          </w:tcPr>
          <w:p w14:paraId="0A454758" w14:textId="7A28714D" w:rsidR="00376DF9" w:rsidRDefault="00E63E61" w:rsidP="002E7E98">
            <w:r>
              <w:t>Reviewed by RLS</w:t>
            </w:r>
          </w:p>
        </w:tc>
      </w:tr>
      <w:tr w:rsidR="00741589" w14:paraId="09AF64A7" w14:textId="77777777" w:rsidTr="002E7E98">
        <w:tc>
          <w:tcPr>
            <w:tcW w:w="2562" w:type="dxa"/>
          </w:tcPr>
          <w:p w14:paraId="004907AE" w14:textId="2F14E30F" w:rsidR="00741589" w:rsidRDefault="0067632E" w:rsidP="002E7E98">
            <w:r>
              <w:t>Emergency Response, Reporting and Review Policy</w:t>
            </w:r>
          </w:p>
          <w:p w14:paraId="6A561A70" w14:textId="77777777" w:rsidR="00411705" w:rsidRDefault="00411705" w:rsidP="002E7E98"/>
          <w:p w14:paraId="5D1C83EB" w14:textId="044119A0" w:rsidR="0067632E" w:rsidRDefault="0067632E" w:rsidP="002E7E98">
            <w:r>
              <w:t>Drug and Alcohol Policy</w:t>
            </w:r>
          </w:p>
          <w:p w14:paraId="5080C7EC" w14:textId="7782766F" w:rsidR="00411705" w:rsidRDefault="00411705" w:rsidP="002E7E98"/>
          <w:p w14:paraId="63066806" w14:textId="71844393" w:rsidR="00411705" w:rsidRDefault="00411705" w:rsidP="002E7E98">
            <w:r>
              <w:t>Internal and External Maltreatment Reporting Policy</w:t>
            </w:r>
          </w:p>
          <w:p w14:paraId="7A2157C8" w14:textId="6C319DBF" w:rsidR="00411705" w:rsidRDefault="00411705" w:rsidP="002E7E98"/>
          <w:p w14:paraId="467D9F99" w14:textId="6AD205E6" w:rsidR="00411705" w:rsidRDefault="00FE020C" w:rsidP="002E7E98">
            <w:r>
              <w:t>Grievance Policy</w:t>
            </w:r>
          </w:p>
          <w:p w14:paraId="16393C8C" w14:textId="2CD4813B" w:rsidR="00FA0DF4" w:rsidRDefault="00FA0DF4" w:rsidP="002E7E98"/>
          <w:p w14:paraId="4D36093E" w14:textId="697DC089" w:rsidR="00FA0DF4" w:rsidRDefault="00FA0DF4" w:rsidP="002E7E98">
            <w:r>
              <w:t>Emergency Escape Plan</w:t>
            </w:r>
          </w:p>
        </w:tc>
        <w:tc>
          <w:tcPr>
            <w:tcW w:w="2562" w:type="dxa"/>
          </w:tcPr>
          <w:p w14:paraId="7363FA8E" w14:textId="0B0CE858" w:rsidR="00741589" w:rsidRDefault="00BD76D3" w:rsidP="002E7E98">
            <w:r>
              <w:t>At least at time of relicensing</w:t>
            </w:r>
            <w:r w:rsidR="001B4A42">
              <w:t>, for a change of premise, or when there are changes to the policies and/or procedures</w:t>
            </w:r>
          </w:p>
          <w:p w14:paraId="7A06C579" w14:textId="77777777" w:rsidR="004A2C10" w:rsidRDefault="004A2C10" w:rsidP="002E7E98"/>
          <w:p w14:paraId="2D0D6A30" w14:textId="093A3F3B" w:rsidR="004A2C10" w:rsidRDefault="004A2C10" w:rsidP="002E7E98">
            <w:r>
              <w:t>For programs with a HCBS/245D license – please follow the 245D policy and procedure review timeline</w:t>
            </w:r>
          </w:p>
        </w:tc>
        <w:tc>
          <w:tcPr>
            <w:tcW w:w="2563" w:type="dxa"/>
          </w:tcPr>
          <w:p w14:paraId="76AF8508" w14:textId="2F12980F" w:rsidR="00741589" w:rsidRDefault="006911AC" w:rsidP="002E7E98">
            <w:r>
              <w:t>License holder</w:t>
            </w:r>
          </w:p>
        </w:tc>
        <w:tc>
          <w:tcPr>
            <w:tcW w:w="2563" w:type="dxa"/>
          </w:tcPr>
          <w:p w14:paraId="3979E743" w14:textId="2080A24C" w:rsidR="00741589" w:rsidRDefault="006911AC" w:rsidP="002E7E98">
            <w:r>
              <w:t>Reviewed by RLS</w:t>
            </w:r>
            <w:r w:rsidR="000D4FF1">
              <w:t xml:space="preserve"> </w:t>
            </w:r>
          </w:p>
          <w:p w14:paraId="01DF02C6" w14:textId="637A0C24" w:rsidR="002E7E03" w:rsidRDefault="002E7E03" w:rsidP="002E7E98"/>
          <w:p w14:paraId="5C30B358" w14:textId="6726E953" w:rsidR="002E7E03" w:rsidRDefault="002E7E03" w:rsidP="002E7E98">
            <w:r>
              <w:t>Reviewed by 245D licensing for programs with an HCBS/245D license</w:t>
            </w:r>
          </w:p>
          <w:p w14:paraId="609159F9" w14:textId="77777777" w:rsidR="004A2C10" w:rsidRDefault="004A2C10" w:rsidP="002E7E98"/>
          <w:p w14:paraId="468F7CB1" w14:textId="515FBAE2" w:rsidR="006911AC" w:rsidRDefault="00161635" w:rsidP="002E7E98">
            <w:r>
              <w:t xml:space="preserve"> </w:t>
            </w:r>
          </w:p>
        </w:tc>
      </w:tr>
      <w:tr w:rsidR="0001071F" w14:paraId="36E827A5" w14:textId="77777777" w:rsidTr="002E7E98">
        <w:tc>
          <w:tcPr>
            <w:tcW w:w="2562" w:type="dxa"/>
          </w:tcPr>
          <w:p w14:paraId="77C753AF" w14:textId="77777777" w:rsidR="0001071F" w:rsidRDefault="000D10DE" w:rsidP="002E7E98">
            <w:r>
              <w:t>Notice of Privacy Practices</w:t>
            </w:r>
          </w:p>
          <w:p w14:paraId="68408B26" w14:textId="77777777" w:rsidR="000D10DE" w:rsidRDefault="000D10DE" w:rsidP="002E7E98"/>
          <w:p w14:paraId="32F6909B" w14:textId="3FB12DC5" w:rsidR="000D10DE" w:rsidRDefault="000D10DE" w:rsidP="002E7E98">
            <w:r>
              <w:t>Vulnerable Adults Act Summary</w:t>
            </w:r>
          </w:p>
        </w:tc>
        <w:tc>
          <w:tcPr>
            <w:tcW w:w="2562" w:type="dxa"/>
          </w:tcPr>
          <w:p w14:paraId="381666D9" w14:textId="47EC5442" w:rsidR="0001071F" w:rsidRDefault="000D10DE" w:rsidP="002E7E98">
            <w:r>
              <w:t>At least annually</w:t>
            </w:r>
          </w:p>
        </w:tc>
        <w:tc>
          <w:tcPr>
            <w:tcW w:w="2563" w:type="dxa"/>
          </w:tcPr>
          <w:p w14:paraId="4E7452D2" w14:textId="7C7DB252" w:rsidR="0001071F" w:rsidRDefault="000D10DE" w:rsidP="002E7E98">
            <w:r>
              <w:t>License holder</w:t>
            </w:r>
          </w:p>
        </w:tc>
        <w:tc>
          <w:tcPr>
            <w:tcW w:w="2563" w:type="dxa"/>
          </w:tcPr>
          <w:p w14:paraId="28429F52" w14:textId="77777777" w:rsidR="000D10DE" w:rsidRDefault="000D10DE" w:rsidP="000D10DE">
            <w:r>
              <w:t>Reviewed by RLS</w:t>
            </w:r>
          </w:p>
          <w:p w14:paraId="1EE6E668" w14:textId="77777777" w:rsidR="000D10DE" w:rsidRDefault="000D10DE" w:rsidP="000D10DE"/>
          <w:p w14:paraId="5F9A20C6" w14:textId="1B21E08D" w:rsidR="0001071F" w:rsidRDefault="000D10DE" w:rsidP="000D10DE">
            <w:r>
              <w:t>Must give a copy to residents/guardians annually</w:t>
            </w:r>
          </w:p>
        </w:tc>
      </w:tr>
      <w:tr w:rsidR="00B73F26" w14:paraId="5730B1E3" w14:textId="77777777" w:rsidTr="002E7E98">
        <w:tc>
          <w:tcPr>
            <w:tcW w:w="2562" w:type="dxa"/>
          </w:tcPr>
          <w:p w14:paraId="2571D8F8" w14:textId="610FFF6A" w:rsidR="00B73F26" w:rsidRDefault="00B73F26" w:rsidP="002E7E98">
            <w:r>
              <w:lastRenderedPageBreak/>
              <w:t>Service Termination Policy</w:t>
            </w:r>
          </w:p>
        </w:tc>
        <w:tc>
          <w:tcPr>
            <w:tcW w:w="2562" w:type="dxa"/>
          </w:tcPr>
          <w:p w14:paraId="1FB9D1AD" w14:textId="77777777" w:rsidR="00B73F26" w:rsidRDefault="000F4DBB" w:rsidP="002E7E98">
            <w:r>
              <w:t>Reviewed at least annually.</w:t>
            </w:r>
          </w:p>
          <w:p w14:paraId="3DEABA1B" w14:textId="77777777" w:rsidR="000F4DBB" w:rsidRDefault="000F4DBB" w:rsidP="002E7E98"/>
          <w:p w14:paraId="1B9D5F50" w14:textId="7493CF50" w:rsidR="000F4DBB" w:rsidRDefault="000F4DBB" w:rsidP="002E7E98">
            <w:r>
              <w:t>For programs with a HCBS/245D license – please follow the 245D policy and procedure review timeline</w:t>
            </w:r>
          </w:p>
        </w:tc>
        <w:tc>
          <w:tcPr>
            <w:tcW w:w="2563" w:type="dxa"/>
          </w:tcPr>
          <w:p w14:paraId="7F5E42E5" w14:textId="35207747" w:rsidR="00B73F26" w:rsidRDefault="000F4DBB" w:rsidP="002E7E98">
            <w:r>
              <w:t>License holder</w:t>
            </w:r>
          </w:p>
        </w:tc>
        <w:tc>
          <w:tcPr>
            <w:tcW w:w="2563" w:type="dxa"/>
          </w:tcPr>
          <w:p w14:paraId="61249F0D" w14:textId="77777777" w:rsidR="000F4DBB" w:rsidRDefault="000F4DBB" w:rsidP="000F4DBB">
            <w:r>
              <w:t>Reviewed by RLS</w:t>
            </w:r>
          </w:p>
          <w:p w14:paraId="54F69C26" w14:textId="77777777" w:rsidR="000F4DBB" w:rsidRDefault="000F4DBB" w:rsidP="000F4DBB"/>
          <w:p w14:paraId="5E394C4B" w14:textId="13D14343" w:rsidR="00B73F26" w:rsidRDefault="000F4DBB" w:rsidP="000F4DBB">
            <w:r>
              <w:t>Must give a copy to residents/guardians annually</w:t>
            </w:r>
          </w:p>
        </w:tc>
      </w:tr>
      <w:tr w:rsidR="00693122" w14:paraId="0C8CB1F4" w14:textId="77777777" w:rsidTr="002E7E98">
        <w:tc>
          <w:tcPr>
            <w:tcW w:w="2562" w:type="dxa"/>
          </w:tcPr>
          <w:p w14:paraId="02428901" w14:textId="116687F6" w:rsidR="00693122" w:rsidRDefault="00693122" w:rsidP="002E7E98">
            <w:r>
              <w:t>Fire Drills</w:t>
            </w:r>
          </w:p>
        </w:tc>
        <w:tc>
          <w:tcPr>
            <w:tcW w:w="2562" w:type="dxa"/>
          </w:tcPr>
          <w:p w14:paraId="4F7AECEC" w14:textId="0B5C92E9" w:rsidR="00693122" w:rsidRDefault="003529DE" w:rsidP="002E7E98">
            <w:r>
              <w:t>Must be completed at least once every 90 days</w:t>
            </w:r>
            <w:r w:rsidR="00D709CC">
              <w:t xml:space="preserve"> within the license anniversary. </w:t>
            </w:r>
          </w:p>
          <w:p w14:paraId="4D8EA91B" w14:textId="221ADD49" w:rsidR="003529DE" w:rsidRDefault="003044A5" w:rsidP="002E7E98">
            <w:r>
              <w:t>Highly encourage</w:t>
            </w:r>
            <w:r w:rsidR="00DC7E20">
              <w:t>d</w:t>
            </w:r>
            <w:r>
              <w:t xml:space="preserve"> to </w:t>
            </w:r>
            <w:r w:rsidR="00DC7E20">
              <w:t>be completed</w:t>
            </w:r>
            <w:r w:rsidR="003529DE">
              <w:t xml:space="preserve"> on a different day of the month and at varied times.</w:t>
            </w:r>
          </w:p>
        </w:tc>
        <w:tc>
          <w:tcPr>
            <w:tcW w:w="2563" w:type="dxa"/>
          </w:tcPr>
          <w:p w14:paraId="74FA3E0F" w14:textId="12E839DE" w:rsidR="00693122" w:rsidRDefault="003529DE" w:rsidP="002E7E98">
            <w:r>
              <w:t>License holder</w:t>
            </w:r>
          </w:p>
        </w:tc>
        <w:tc>
          <w:tcPr>
            <w:tcW w:w="2563" w:type="dxa"/>
          </w:tcPr>
          <w:p w14:paraId="3F2BC0B5" w14:textId="692AB4D7" w:rsidR="00693122" w:rsidRDefault="003529DE" w:rsidP="002E7E98">
            <w:r>
              <w:t>Reviewed by RLS</w:t>
            </w:r>
          </w:p>
        </w:tc>
      </w:tr>
      <w:tr w:rsidR="00692C13" w14:paraId="4B441703" w14:textId="77777777" w:rsidTr="002E7E98">
        <w:tc>
          <w:tcPr>
            <w:tcW w:w="2562" w:type="dxa"/>
          </w:tcPr>
          <w:p w14:paraId="5F97892A" w14:textId="63023CDB" w:rsidR="00692C13" w:rsidRDefault="00692C13" w:rsidP="002E7E98">
            <w:r>
              <w:t>Smoke and carbon monoxide detectors</w:t>
            </w:r>
          </w:p>
        </w:tc>
        <w:tc>
          <w:tcPr>
            <w:tcW w:w="2562" w:type="dxa"/>
          </w:tcPr>
          <w:p w14:paraId="5E29E6DC" w14:textId="436BD9AC" w:rsidR="000D78F5" w:rsidRDefault="00303638" w:rsidP="002E7E98">
            <w:r>
              <w:t xml:space="preserve">Highly encouraged to be tested </w:t>
            </w:r>
            <w:r w:rsidR="00692C13">
              <w:t>with each drill to ensure functionality. Replace according to manufacturer guideline</w:t>
            </w:r>
            <w:r w:rsidR="000D78F5">
              <w:t>s or at least every 10 years.</w:t>
            </w:r>
          </w:p>
          <w:p w14:paraId="4345C272" w14:textId="77777777" w:rsidR="00C90AD3" w:rsidRDefault="00C90AD3" w:rsidP="002E7E98"/>
          <w:p w14:paraId="5375F63C" w14:textId="119DD9F4" w:rsidR="00C90AD3" w:rsidRDefault="00C90AD3" w:rsidP="002E7E98">
            <w:r>
              <w:t xml:space="preserve">Hardwired alarms MUST be replaced with hardwired alarms. </w:t>
            </w:r>
          </w:p>
        </w:tc>
        <w:tc>
          <w:tcPr>
            <w:tcW w:w="2563" w:type="dxa"/>
          </w:tcPr>
          <w:p w14:paraId="6F743DCD" w14:textId="234F4F5E" w:rsidR="00692C13" w:rsidRDefault="000D78F5" w:rsidP="002E7E98">
            <w:r>
              <w:t>License holder</w:t>
            </w:r>
          </w:p>
        </w:tc>
        <w:tc>
          <w:tcPr>
            <w:tcW w:w="2563" w:type="dxa"/>
          </w:tcPr>
          <w:p w14:paraId="5973D1CA" w14:textId="5AD0535C" w:rsidR="00692C13" w:rsidRDefault="000D78F5" w:rsidP="002E7E98">
            <w:r>
              <w:t>Reviewed by RLS</w:t>
            </w:r>
          </w:p>
        </w:tc>
      </w:tr>
      <w:tr w:rsidR="00247544" w14:paraId="1BF7B9B7" w14:textId="77777777" w:rsidTr="002E7E98">
        <w:tc>
          <w:tcPr>
            <w:tcW w:w="2562" w:type="dxa"/>
          </w:tcPr>
          <w:p w14:paraId="75DF1607" w14:textId="77777777" w:rsidR="00247544" w:rsidRDefault="00247544" w:rsidP="002E7E98">
            <w:r>
              <w:t>Training</w:t>
            </w:r>
            <w:r w:rsidR="00A62243">
              <w:t xml:space="preserve"> </w:t>
            </w:r>
          </w:p>
          <w:p w14:paraId="2D699F08" w14:textId="77777777" w:rsidR="00E161FA" w:rsidRDefault="00E161FA" w:rsidP="002E7E98"/>
          <w:p w14:paraId="48AA4091" w14:textId="77777777" w:rsidR="00E161FA" w:rsidRDefault="00E161FA" w:rsidP="002E7E98"/>
          <w:p w14:paraId="1815F7CF" w14:textId="77777777" w:rsidR="00E161FA" w:rsidRDefault="00E161FA" w:rsidP="002E7E98"/>
          <w:p w14:paraId="6134D059" w14:textId="183E414A" w:rsidR="00E161FA" w:rsidRDefault="00E161FA" w:rsidP="002E7E98">
            <w:r>
              <w:t>AFC with 245D – follow 245D training requirements</w:t>
            </w:r>
          </w:p>
        </w:tc>
        <w:tc>
          <w:tcPr>
            <w:tcW w:w="2562" w:type="dxa"/>
          </w:tcPr>
          <w:p w14:paraId="024E4BCF" w14:textId="6C5D8AC6" w:rsidR="00A62243" w:rsidRDefault="00A62243" w:rsidP="002E7E98">
            <w:r>
              <w:t>All AFC</w:t>
            </w:r>
            <w:r w:rsidR="00680DED">
              <w:t xml:space="preserve"> progra</w:t>
            </w:r>
            <w:r w:rsidR="005A7773">
              <w:t xml:space="preserve">ms: </w:t>
            </w:r>
          </w:p>
          <w:p w14:paraId="5BA1B51B" w14:textId="54DA80A8" w:rsidR="005A7773" w:rsidRDefault="005A7773" w:rsidP="002E7E98">
            <w:r>
              <w:t>Annual Vulnerable Adult Maltreatment Training</w:t>
            </w:r>
          </w:p>
          <w:p w14:paraId="462A3858" w14:textId="77777777" w:rsidR="005A7773" w:rsidRDefault="005A7773" w:rsidP="002E7E98"/>
          <w:p w14:paraId="5B8EF2B5" w14:textId="3EFD5843" w:rsidR="005A7773" w:rsidRDefault="005A7773" w:rsidP="002E7E98">
            <w:r>
              <w:t>AFC without 245D:</w:t>
            </w:r>
          </w:p>
          <w:p w14:paraId="60DCDE07" w14:textId="5CC0627B" w:rsidR="00247544" w:rsidRDefault="00247544" w:rsidP="002E7E98">
            <w:r>
              <w:t xml:space="preserve">Caregivers with 0-5 years </w:t>
            </w:r>
            <w:r w:rsidR="0008710B">
              <w:t xml:space="preserve">of experience: 12 hours of annual </w:t>
            </w:r>
            <w:r w:rsidR="00F94A65">
              <w:t>training</w:t>
            </w:r>
          </w:p>
          <w:p w14:paraId="43004AB5" w14:textId="77777777" w:rsidR="00F94A65" w:rsidRDefault="00F94A65" w:rsidP="002E7E98"/>
          <w:p w14:paraId="4229DCB8" w14:textId="73BBEF13" w:rsidR="00F94A65" w:rsidRDefault="00F94A65" w:rsidP="002E7E98">
            <w:r>
              <w:t>Caregivers with 6+ years of experience: 6 hours of annual training</w:t>
            </w:r>
          </w:p>
        </w:tc>
        <w:tc>
          <w:tcPr>
            <w:tcW w:w="2563" w:type="dxa"/>
          </w:tcPr>
          <w:p w14:paraId="5B055862" w14:textId="4BBE2CCF" w:rsidR="00247544" w:rsidRDefault="00F94A65" w:rsidP="002E7E98">
            <w:r>
              <w:t>License holder</w:t>
            </w:r>
          </w:p>
        </w:tc>
        <w:tc>
          <w:tcPr>
            <w:tcW w:w="2563" w:type="dxa"/>
          </w:tcPr>
          <w:p w14:paraId="777F52C4" w14:textId="77777777" w:rsidR="00247544" w:rsidRDefault="005A7773" w:rsidP="002E7E98">
            <w:r>
              <w:t>Reviewed by RLS</w:t>
            </w:r>
          </w:p>
          <w:p w14:paraId="41536C9A" w14:textId="77777777" w:rsidR="00E161FA" w:rsidRDefault="00E161FA" w:rsidP="002E7E98"/>
          <w:p w14:paraId="408B023C" w14:textId="77777777" w:rsidR="00E161FA" w:rsidRDefault="00E161FA" w:rsidP="002E7E98"/>
          <w:p w14:paraId="2FF6F023" w14:textId="77777777" w:rsidR="00E161FA" w:rsidRDefault="00E161FA" w:rsidP="002E7E98"/>
          <w:p w14:paraId="771C83C3" w14:textId="0EBF049F" w:rsidR="00E161FA" w:rsidRDefault="00F759F4" w:rsidP="002E7E98">
            <w:r>
              <w:t>Programs with 245D: training reviewed by 245D licensing</w:t>
            </w:r>
          </w:p>
        </w:tc>
      </w:tr>
      <w:tr w:rsidR="005330E6" w14:paraId="7BB3CEAE" w14:textId="77777777" w:rsidTr="002E7E98">
        <w:tc>
          <w:tcPr>
            <w:tcW w:w="2562" w:type="dxa"/>
          </w:tcPr>
          <w:p w14:paraId="576DB67A" w14:textId="30B2F102" w:rsidR="005330E6" w:rsidRDefault="00414D05" w:rsidP="002E7E98">
            <w:r>
              <w:t>Individual Resident Placement Agreement</w:t>
            </w:r>
            <w:r w:rsidR="00DE7385">
              <w:t xml:space="preserve"> (IRPA)</w:t>
            </w:r>
          </w:p>
          <w:p w14:paraId="03381356" w14:textId="77777777" w:rsidR="00FA372D" w:rsidRDefault="00FA372D" w:rsidP="002E7E98"/>
          <w:p w14:paraId="111B79AF" w14:textId="14366AE3" w:rsidR="00FA372D" w:rsidRDefault="00FA372D" w:rsidP="002E7E98">
            <w:r>
              <w:t>Individual Abuse Prevention Plan</w:t>
            </w:r>
            <w:r w:rsidR="00DE7385">
              <w:t xml:space="preserve"> (IAPP)</w:t>
            </w:r>
          </w:p>
        </w:tc>
        <w:tc>
          <w:tcPr>
            <w:tcW w:w="2562" w:type="dxa"/>
          </w:tcPr>
          <w:p w14:paraId="7C88C03C" w14:textId="77777777" w:rsidR="005330E6" w:rsidRDefault="00752947" w:rsidP="002E7E98">
            <w:r w:rsidRPr="009D1B5B">
              <w:t>Reviewed and updated at least annually</w:t>
            </w:r>
          </w:p>
          <w:p w14:paraId="31C8E42A" w14:textId="77777777" w:rsidR="00DE7385" w:rsidRDefault="00DE7385" w:rsidP="002E7E98"/>
          <w:p w14:paraId="6617E844" w14:textId="28B75724" w:rsidR="00DE7385" w:rsidRDefault="003656F5" w:rsidP="002E7E98">
            <w:r>
              <w:t>IAPP should be updated as</w:t>
            </w:r>
            <w:r w:rsidR="00B8174F">
              <w:t xml:space="preserve"> appropriate for updates with potential </w:t>
            </w:r>
            <w:r w:rsidR="00B8174F">
              <w:lastRenderedPageBreak/>
              <w:t>risks for abuse, neglect, and/or maltreatment</w:t>
            </w:r>
          </w:p>
        </w:tc>
        <w:tc>
          <w:tcPr>
            <w:tcW w:w="2563" w:type="dxa"/>
          </w:tcPr>
          <w:p w14:paraId="3E3673A9" w14:textId="26E59F5C" w:rsidR="005330E6" w:rsidRDefault="002E7E03" w:rsidP="002E7E98">
            <w:r>
              <w:lastRenderedPageBreak/>
              <w:t>License holder</w:t>
            </w:r>
            <w:r w:rsidR="00CB12C1">
              <w:t>, case manager, resident, and guardian</w:t>
            </w:r>
          </w:p>
        </w:tc>
        <w:tc>
          <w:tcPr>
            <w:tcW w:w="2563" w:type="dxa"/>
          </w:tcPr>
          <w:p w14:paraId="49FFF701" w14:textId="144085A8" w:rsidR="005330E6" w:rsidRDefault="00CB12C1" w:rsidP="002E7E98">
            <w:r>
              <w:t>Reviewed by RLS</w:t>
            </w:r>
          </w:p>
        </w:tc>
      </w:tr>
      <w:tr w:rsidR="0073313B" w14:paraId="49E7A9D8" w14:textId="77777777" w:rsidTr="002E7E98">
        <w:tc>
          <w:tcPr>
            <w:tcW w:w="2562" w:type="dxa"/>
          </w:tcPr>
          <w:p w14:paraId="19449AE5" w14:textId="129F5729" w:rsidR="0073313B" w:rsidRDefault="0073313B" w:rsidP="002E7E98">
            <w:r>
              <w:t>Fire extinguishers</w:t>
            </w:r>
          </w:p>
        </w:tc>
        <w:tc>
          <w:tcPr>
            <w:tcW w:w="2562" w:type="dxa"/>
          </w:tcPr>
          <w:p w14:paraId="30074846" w14:textId="77777777" w:rsidR="0073313B" w:rsidRDefault="0073313B" w:rsidP="002E7E98">
            <w:r>
              <w:t>Must service annually</w:t>
            </w:r>
          </w:p>
          <w:p w14:paraId="36C30999" w14:textId="77777777" w:rsidR="00321F94" w:rsidRDefault="00321F94" w:rsidP="002E7E98"/>
          <w:p w14:paraId="77F7044D" w14:textId="399896FE" w:rsidR="00321F94" w:rsidRDefault="00321F94" w:rsidP="002E7E98">
            <w:r>
              <w:t>Must document on tags that fire extinguishers were checked monthly</w:t>
            </w:r>
          </w:p>
        </w:tc>
        <w:tc>
          <w:tcPr>
            <w:tcW w:w="2563" w:type="dxa"/>
          </w:tcPr>
          <w:p w14:paraId="5A6CF841" w14:textId="07EABA2E" w:rsidR="0073313B" w:rsidRDefault="0073313B" w:rsidP="002E7E98">
            <w:r>
              <w:t>License holder</w:t>
            </w:r>
          </w:p>
        </w:tc>
        <w:tc>
          <w:tcPr>
            <w:tcW w:w="2563" w:type="dxa"/>
          </w:tcPr>
          <w:p w14:paraId="217CC03D" w14:textId="10A6B321" w:rsidR="0073313B" w:rsidRDefault="0073313B" w:rsidP="002E7E98">
            <w:r>
              <w:t>Reviewed by RLS</w:t>
            </w:r>
          </w:p>
        </w:tc>
      </w:tr>
      <w:tr w:rsidR="0073313B" w14:paraId="661CE4DF" w14:textId="77777777" w:rsidTr="002E7E98">
        <w:tc>
          <w:tcPr>
            <w:tcW w:w="2562" w:type="dxa"/>
          </w:tcPr>
          <w:p w14:paraId="1F328034" w14:textId="0C8D5F66" w:rsidR="0073313B" w:rsidRDefault="0073313B" w:rsidP="002E7E98">
            <w:r>
              <w:t>Well water</w:t>
            </w:r>
          </w:p>
        </w:tc>
        <w:tc>
          <w:tcPr>
            <w:tcW w:w="2562" w:type="dxa"/>
          </w:tcPr>
          <w:p w14:paraId="6F6D16A4" w14:textId="522865CC" w:rsidR="0073313B" w:rsidRDefault="002F0CFD" w:rsidP="002E7E98">
            <w:r>
              <w:t xml:space="preserve">Must </w:t>
            </w:r>
            <w:r w:rsidR="00F265A9">
              <w:t xml:space="preserve">be tested </w:t>
            </w:r>
            <w:r>
              <w:t xml:space="preserve">annually </w:t>
            </w:r>
            <w:r w:rsidR="005900F4">
              <w:t xml:space="preserve">by a </w:t>
            </w:r>
            <w:r w:rsidR="00151598">
              <w:t xml:space="preserve">MN Health Department certified lab </w:t>
            </w:r>
            <w:r>
              <w:t>for coliform and nitrates</w:t>
            </w:r>
          </w:p>
        </w:tc>
        <w:tc>
          <w:tcPr>
            <w:tcW w:w="2563" w:type="dxa"/>
          </w:tcPr>
          <w:p w14:paraId="470A83EB" w14:textId="7066B045" w:rsidR="0073313B" w:rsidRDefault="002F0CFD" w:rsidP="002E7E98">
            <w:r>
              <w:t>License holder</w:t>
            </w:r>
          </w:p>
        </w:tc>
        <w:tc>
          <w:tcPr>
            <w:tcW w:w="2563" w:type="dxa"/>
          </w:tcPr>
          <w:p w14:paraId="7973AF66" w14:textId="671864CE" w:rsidR="0073313B" w:rsidRDefault="002F0CFD" w:rsidP="002E7E98">
            <w:r>
              <w:t>Reviewed by RLS</w:t>
            </w:r>
          </w:p>
        </w:tc>
      </w:tr>
      <w:tr w:rsidR="00FA372D" w14:paraId="096218ED" w14:textId="77777777" w:rsidTr="002E7E98">
        <w:tc>
          <w:tcPr>
            <w:tcW w:w="2562" w:type="dxa"/>
          </w:tcPr>
          <w:p w14:paraId="430EE4D8" w14:textId="2444B7F5" w:rsidR="00FA372D" w:rsidRDefault="00E4405C" w:rsidP="002E7E98">
            <w:r>
              <w:t>Background studies</w:t>
            </w:r>
          </w:p>
        </w:tc>
        <w:tc>
          <w:tcPr>
            <w:tcW w:w="2562" w:type="dxa"/>
          </w:tcPr>
          <w:p w14:paraId="1E1F242B" w14:textId="77777777" w:rsidR="00FA372D" w:rsidRDefault="009931D4" w:rsidP="002E7E98">
            <w:r>
              <w:t xml:space="preserve">Complete for all new employees, volunteers, contractors, etc. or </w:t>
            </w:r>
            <w:r w:rsidR="001F1C27">
              <w:t>children turning 13</w:t>
            </w:r>
            <w:r w:rsidR="00CB6833">
              <w:t>.</w:t>
            </w:r>
          </w:p>
          <w:p w14:paraId="49817AA2" w14:textId="77777777" w:rsidR="00CB6833" w:rsidRDefault="00CB6833" w:rsidP="002E7E98"/>
          <w:p w14:paraId="2D6E0F28" w14:textId="5CEF5F63" w:rsidR="00CB6833" w:rsidRDefault="00CB6833" w:rsidP="002E7E98">
            <w:r>
              <w:t xml:space="preserve">If the person needing a background study will not be providing 245D services (i.e. a </w:t>
            </w:r>
            <w:r w:rsidR="00D9684C">
              <w:t>minor between 13 and 17), you can run the study under your AFC license</w:t>
            </w:r>
          </w:p>
        </w:tc>
        <w:tc>
          <w:tcPr>
            <w:tcW w:w="2563" w:type="dxa"/>
          </w:tcPr>
          <w:p w14:paraId="6B7049F3" w14:textId="77777777" w:rsidR="00FA372D" w:rsidRDefault="001F1C27" w:rsidP="002E7E98">
            <w:r>
              <w:t>License holder</w:t>
            </w:r>
          </w:p>
          <w:p w14:paraId="05006B82" w14:textId="77777777" w:rsidR="001F1C27" w:rsidRDefault="001F1C27" w:rsidP="002E7E98"/>
          <w:p w14:paraId="72483F74" w14:textId="147A3EEA" w:rsidR="001F1C27" w:rsidRDefault="00ED3A64" w:rsidP="002E7E98">
            <w:r>
              <w:t>For programs with a 245D license: ensure to affiliate with both licenses in NETStudy2</w:t>
            </w:r>
          </w:p>
        </w:tc>
        <w:tc>
          <w:tcPr>
            <w:tcW w:w="2563" w:type="dxa"/>
          </w:tcPr>
          <w:p w14:paraId="58B741BF" w14:textId="0CD7300F" w:rsidR="00FA372D" w:rsidRDefault="001F1C27" w:rsidP="002E7E98">
            <w:r>
              <w:t>Roster reviewed by RLS</w:t>
            </w:r>
          </w:p>
        </w:tc>
      </w:tr>
      <w:tr w:rsidR="00485735" w14:paraId="06856645" w14:textId="77777777" w:rsidTr="002E7E98">
        <w:tc>
          <w:tcPr>
            <w:tcW w:w="2562" w:type="dxa"/>
          </w:tcPr>
          <w:p w14:paraId="38473BB8" w14:textId="63D7419A" w:rsidR="007B02E2" w:rsidRDefault="007B02E2" w:rsidP="002E7E98">
            <w:r>
              <w:t>For programs without a 245D license:</w:t>
            </w:r>
          </w:p>
          <w:p w14:paraId="44E4940A" w14:textId="77777777" w:rsidR="007B02E2" w:rsidRDefault="007B02E2" w:rsidP="002E7E98"/>
          <w:p w14:paraId="4FBB1CA5" w14:textId="1FCADF48" w:rsidR="00485735" w:rsidRDefault="00485735" w:rsidP="002E7E98">
            <w:r>
              <w:t>Resident files</w:t>
            </w:r>
          </w:p>
        </w:tc>
        <w:tc>
          <w:tcPr>
            <w:tcW w:w="2562" w:type="dxa"/>
          </w:tcPr>
          <w:p w14:paraId="7680A560" w14:textId="77777777" w:rsidR="00485735" w:rsidRDefault="002523C9" w:rsidP="002E7E98">
            <w:r>
              <w:t xml:space="preserve">Ensure the following items </w:t>
            </w:r>
            <w:r w:rsidR="00ED5473">
              <w:t>are in place and updated with any changes:</w:t>
            </w:r>
          </w:p>
          <w:p w14:paraId="2156F9BE" w14:textId="77777777" w:rsidR="00ED5473" w:rsidRDefault="00ED5473" w:rsidP="002E7E98"/>
          <w:p w14:paraId="6196E340" w14:textId="0158ADFC" w:rsidR="00ED5473" w:rsidRDefault="00ED5473" w:rsidP="002E7E98">
            <w:r>
              <w:t xml:space="preserve">Resident </w:t>
            </w:r>
            <w:r w:rsidR="00BA5876">
              <w:t>d</w:t>
            </w:r>
            <w:r>
              <w:t xml:space="preserve">emographic </w:t>
            </w:r>
            <w:r w:rsidR="00BA5876">
              <w:t>i</w:t>
            </w:r>
            <w:r>
              <w:t>nformation</w:t>
            </w:r>
          </w:p>
          <w:p w14:paraId="2BBB8D1F" w14:textId="77777777" w:rsidR="00ED5473" w:rsidRDefault="00ED5473" w:rsidP="002E7E98"/>
          <w:p w14:paraId="5E89E656" w14:textId="77777777" w:rsidR="00ED5473" w:rsidRDefault="00ED5473" w:rsidP="002E7E98">
            <w:r>
              <w:t xml:space="preserve">Resident </w:t>
            </w:r>
            <w:r w:rsidR="00BA5876">
              <w:t>e</w:t>
            </w:r>
            <w:r>
              <w:t>mergency</w:t>
            </w:r>
            <w:r w:rsidR="00BA5876">
              <w:t xml:space="preserve"> and provider</w:t>
            </w:r>
            <w:r w:rsidR="00392826">
              <w:t xml:space="preserve"> contact information</w:t>
            </w:r>
          </w:p>
          <w:p w14:paraId="6D621E8F" w14:textId="77777777" w:rsidR="00392826" w:rsidRDefault="00392826" w:rsidP="002E7E98"/>
          <w:p w14:paraId="0AF0C908" w14:textId="77777777" w:rsidR="00392826" w:rsidRDefault="003352AE" w:rsidP="002E7E98">
            <w:r>
              <w:t>Medication administration record, permission to administer medication</w:t>
            </w:r>
            <w:r w:rsidR="009B2BA8">
              <w:t>, and medication policy</w:t>
            </w:r>
          </w:p>
          <w:p w14:paraId="535CCDA6" w14:textId="77777777" w:rsidR="009B2BA8" w:rsidRDefault="009B2BA8" w:rsidP="002E7E98"/>
          <w:p w14:paraId="08500F24" w14:textId="77777777" w:rsidR="009B2BA8" w:rsidRDefault="009B2BA8" w:rsidP="002E7E98">
            <w:r>
              <w:t>Cash resource</w:t>
            </w:r>
            <w:r w:rsidR="0073313B">
              <w:t xml:space="preserve"> record and permission to manage funds</w:t>
            </w:r>
          </w:p>
          <w:p w14:paraId="764734D2" w14:textId="77777777" w:rsidR="002F0CFD" w:rsidRDefault="002F0CFD" w:rsidP="002E7E98"/>
          <w:p w14:paraId="75085B2C" w14:textId="7B4E1521" w:rsidR="002F0CFD" w:rsidRDefault="002F0CFD" w:rsidP="002E7E98">
            <w:r>
              <w:lastRenderedPageBreak/>
              <w:t xml:space="preserve">Mobility </w:t>
            </w:r>
            <w:r w:rsidR="00A70780">
              <w:t xml:space="preserve">Access </w:t>
            </w:r>
            <w:r>
              <w:t>Assessment</w:t>
            </w:r>
            <w:r w:rsidR="00D9684C">
              <w:t xml:space="preserve"> – reviewed unless there were changes</w:t>
            </w:r>
          </w:p>
          <w:p w14:paraId="4B7585B9" w14:textId="77777777" w:rsidR="008C3DFD" w:rsidRDefault="008C3DFD" w:rsidP="002E7E98"/>
          <w:p w14:paraId="5846C420" w14:textId="3CB36908" w:rsidR="008C3DFD" w:rsidRDefault="008C3DFD" w:rsidP="002E7E98">
            <w:r>
              <w:t xml:space="preserve">Release of Information (ROI) </w:t>
            </w:r>
            <w:r w:rsidR="00850CCA">
              <w:t>signed by resident/</w:t>
            </w:r>
            <w:r w:rsidR="00C21FAA">
              <w:t>guardian for provider for all needed outside individuals/organizations</w:t>
            </w:r>
          </w:p>
        </w:tc>
        <w:tc>
          <w:tcPr>
            <w:tcW w:w="2563" w:type="dxa"/>
          </w:tcPr>
          <w:p w14:paraId="2DDEE5D4" w14:textId="5DC5F505" w:rsidR="00485735" w:rsidRDefault="007B02E2" w:rsidP="002E7E98">
            <w:r>
              <w:lastRenderedPageBreak/>
              <w:t xml:space="preserve">License holder – may need to collaborate with case manager, </w:t>
            </w:r>
            <w:r w:rsidR="002523C9">
              <w:t>guardian, doctors, or others</w:t>
            </w:r>
          </w:p>
        </w:tc>
        <w:tc>
          <w:tcPr>
            <w:tcW w:w="2563" w:type="dxa"/>
          </w:tcPr>
          <w:p w14:paraId="5B23C690" w14:textId="3E799425" w:rsidR="00485735" w:rsidRDefault="002523C9" w:rsidP="002E7E98">
            <w:r>
              <w:t>Reviewed by RLS</w:t>
            </w:r>
          </w:p>
        </w:tc>
      </w:tr>
      <w:bookmarkEnd w:id="0"/>
    </w:tbl>
    <w:p w14:paraId="500E6169" w14:textId="77777777" w:rsidR="00174076" w:rsidRDefault="00174076" w:rsidP="004B68AF">
      <w:pPr>
        <w:pStyle w:val="Heading1"/>
      </w:pPr>
    </w:p>
    <w:p w14:paraId="3DC86BDE" w14:textId="77777777" w:rsidR="00EA719C" w:rsidRDefault="00EA719C" w:rsidP="00752416">
      <w:pPr>
        <w:pStyle w:val="BasicParagraph"/>
        <w:spacing w:line="240" w:lineRule="auto"/>
        <w:rPr>
          <w:rFonts w:asciiTheme="minorHAnsi" w:hAnsiTheme="minorHAnsi" w:cstheme="minorHAnsi"/>
          <w:color w:val="ED8B00" w:themeColor="accent1"/>
          <w:sz w:val="28"/>
          <w:szCs w:val="20"/>
        </w:rPr>
      </w:pPr>
      <w:bookmarkStart w:id="2" w:name="_Hlk13568301"/>
    </w:p>
    <w:bookmarkEnd w:id="1"/>
    <w:bookmarkEnd w:id="2"/>
    <w:p w14:paraId="4CDEEBF4" w14:textId="77777777" w:rsidR="00EA719C" w:rsidRDefault="00EA719C" w:rsidP="00752416">
      <w:pPr>
        <w:pStyle w:val="BasicParagraph"/>
        <w:spacing w:line="240" w:lineRule="auto"/>
        <w:rPr>
          <w:rFonts w:asciiTheme="minorHAnsi" w:hAnsiTheme="minorHAnsi" w:cstheme="minorHAnsi"/>
          <w:color w:val="ED8B00" w:themeColor="accent1"/>
          <w:sz w:val="28"/>
          <w:szCs w:val="20"/>
        </w:rPr>
      </w:pPr>
    </w:p>
    <w:sectPr w:rsidR="00EA719C" w:rsidSect="004B68A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160" w:right="90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4E2A2" w14:textId="77777777" w:rsidR="005E02B8" w:rsidRDefault="005E02B8" w:rsidP="00F03F8D">
      <w:r>
        <w:separator/>
      </w:r>
    </w:p>
  </w:endnote>
  <w:endnote w:type="continuationSeparator" w:id="0">
    <w:p w14:paraId="3B7EDD3B" w14:textId="77777777" w:rsidR="005E02B8" w:rsidRDefault="005E02B8" w:rsidP="00F0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1A0DA" w14:textId="44A9F9FC" w:rsidR="004D6B13" w:rsidRDefault="004D6B13">
    <w:pPr>
      <w:pStyle w:val="Footer"/>
    </w:pPr>
    <w:r>
      <w:t>Updated: 9/8/2022</w:t>
    </w:r>
  </w:p>
  <w:p w14:paraId="08012CD5" w14:textId="77777777" w:rsidR="004D6B13" w:rsidRDefault="004D6B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23428" w14:textId="77777777" w:rsidR="00467B07" w:rsidRDefault="00467B07">
    <w:pPr>
      <w:pStyle w:val="Footer"/>
    </w:pPr>
    <w:r w:rsidRPr="00467B07">
      <w:rPr>
        <w:noProof/>
      </w:rPr>
      <w:drawing>
        <wp:anchor distT="0" distB="0" distL="114300" distR="114300" simplePos="0" relativeHeight="251656704" behindDoc="0" locked="0" layoutInCell="1" allowOverlap="1" wp14:anchorId="3BDF9BCF" wp14:editId="0C691ED5">
          <wp:simplePos x="0" y="0"/>
          <wp:positionH relativeFrom="page">
            <wp:posOffset>-7620</wp:posOffset>
          </wp:positionH>
          <wp:positionV relativeFrom="paragraph">
            <wp:posOffset>-200660</wp:posOffset>
          </wp:positionV>
          <wp:extent cx="7771765" cy="819150"/>
          <wp:effectExtent l="0" t="0" r="635" b="0"/>
          <wp:wrapNone/>
          <wp:docPr id="1" name="Picture 1" descr="A picture containing bi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urcewell_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856"/>
                  <a:stretch/>
                </pic:blipFill>
                <pic:spPr bwMode="auto">
                  <a:xfrm>
                    <a:off x="0" y="0"/>
                    <a:ext cx="777176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FE65B" w14:textId="77777777" w:rsidR="005E02B8" w:rsidRDefault="005E02B8" w:rsidP="00F03F8D">
      <w:r>
        <w:separator/>
      </w:r>
    </w:p>
  </w:footnote>
  <w:footnote w:type="continuationSeparator" w:id="0">
    <w:p w14:paraId="183CB62B" w14:textId="77777777" w:rsidR="005E02B8" w:rsidRDefault="005E02B8" w:rsidP="00F0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86B77" w14:textId="77777777" w:rsidR="00426866" w:rsidRDefault="00732460">
    <w:pPr>
      <w:pStyle w:val="Header"/>
    </w:pPr>
    <w:r>
      <w:rPr>
        <w:noProof/>
      </w:rPr>
      <w:pict w14:anchorId="1A00B1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711610" o:spid="_x0000_s1041" type="#_x0000_t75" style="position:absolute;margin-left:0;margin-top:0;width:612pt;height:11in;z-index:-251657728;mso-position-horizontal:center;mso-position-horizontal-relative:margin;mso-position-vertical:center;mso-position-vertical-relative:margin" o:allowincell="f">
          <v:imagedata r:id="rId1" o:title="Sourcewell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506D85"/>
      </w:rPr>
      <w:id w:val="723644038"/>
      <w:docPartObj>
        <w:docPartGallery w:val="Page Numbers (Top of Page)"/>
        <w:docPartUnique/>
      </w:docPartObj>
    </w:sdtPr>
    <w:sdtEndPr/>
    <w:sdtContent>
      <w:p w14:paraId="6511192D" w14:textId="77777777" w:rsidR="00426866" w:rsidRDefault="00426866" w:rsidP="0085517D">
        <w:pPr>
          <w:pStyle w:val="Header"/>
          <w:tabs>
            <w:tab w:val="clear" w:pos="4680"/>
            <w:tab w:val="clear" w:pos="9360"/>
            <w:tab w:val="center" w:pos="5040"/>
            <w:tab w:val="right" w:pos="9990"/>
          </w:tabs>
          <w:rPr>
            <w:color w:val="506D85"/>
          </w:rPr>
        </w:pPr>
      </w:p>
      <w:p w14:paraId="5BFFB221" w14:textId="77777777" w:rsidR="00426866" w:rsidRPr="001A4192" w:rsidRDefault="00426866" w:rsidP="0085517D">
        <w:pPr>
          <w:pStyle w:val="Header"/>
          <w:tabs>
            <w:tab w:val="clear" w:pos="4680"/>
            <w:tab w:val="clear" w:pos="9360"/>
            <w:tab w:val="center" w:pos="5040"/>
            <w:tab w:val="right" w:pos="9990"/>
          </w:tabs>
          <w:rPr>
            <w:color w:val="506D85"/>
          </w:rPr>
        </w:pPr>
        <w:r w:rsidRPr="001A4192">
          <w:rPr>
            <w:color w:val="506D85"/>
          </w:rPr>
          <w:t xml:space="preserve">Sourcewell </w:t>
        </w:r>
        <w:r w:rsidRPr="001A4192">
          <w:rPr>
            <w:color w:val="506D85"/>
          </w:rPr>
          <w:tab/>
        </w:r>
        <w:r w:rsidRPr="001A4192">
          <w:rPr>
            <w:color w:val="506D85"/>
          </w:rPr>
          <w:tab/>
          <w:t xml:space="preserve">Page </w:t>
        </w:r>
        <w:r w:rsidRPr="001A4192">
          <w:rPr>
            <w:b/>
            <w:bCs/>
            <w:color w:val="506D85"/>
          </w:rPr>
          <w:fldChar w:fldCharType="begin"/>
        </w:r>
        <w:r w:rsidRPr="001A4192">
          <w:rPr>
            <w:b/>
            <w:bCs/>
            <w:color w:val="506D85"/>
          </w:rPr>
          <w:instrText xml:space="preserve"> PAGE </w:instrText>
        </w:r>
        <w:r w:rsidRPr="001A4192">
          <w:rPr>
            <w:b/>
            <w:bCs/>
            <w:color w:val="506D85"/>
          </w:rPr>
          <w:fldChar w:fldCharType="separate"/>
        </w:r>
        <w:r w:rsidR="00F35B61">
          <w:rPr>
            <w:b/>
            <w:bCs/>
            <w:noProof/>
            <w:color w:val="506D85"/>
          </w:rPr>
          <w:t>2</w:t>
        </w:r>
        <w:r w:rsidRPr="001A4192">
          <w:rPr>
            <w:b/>
            <w:bCs/>
            <w:color w:val="506D85"/>
          </w:rPr>
          <w:fldChar w:fldCharType="end"/>
        </w:r>
        <w:r w:rsidRPr="001A4192">
          <w:rPr>
            <w:color w:val="506D85"/>
          </w:rPr>
          <w:t xml:space="preserve"> of </w:t>
        </w:r>
        <w:r w:rsidRPr="001A4192">
          <w:rPr>
            <w:b/>
            <w:bCs/>
            <w:color w:val="506D85"/>
          </w:rPr>
          <w:fldChar w:fldCharType="begin"/>
        </w:r>
        <w:r w:rsidRPr="001A4192">
          <w:rPr>
            <w:b/>
            <w:bCs/>
            <w:color w:val="506D85"/>
          </w:rPr>
          <w:instrText xml:space="preserve"> NUMPAGES  </w:instrText>
        </w:r>
        <w:r w:rsidRPr="001A4192">
          <w:rPr>
            <w:b/>
            <w:bCs/>
            <w:color w:val="506D85"/>
          </w:rPr>
          <w:fldChar w:fldCharType="separate"/>
        </w:r>
        <w:r w:rsidR="00F35B61">
          <w:rPr>
            <w:b/>
            <w:bCs/>
            <w:noProof/>
            <w:color w:val="506D85"/>
          </w:rPr>
          <w:t>2</w:t>
        </w:r>
        <w:r w:rsidRPr="001A4192">
          <w:rPr>
            <w:b/>
            <w:bCs/>
            <w:color w:val="506D85"/>
          </w:rPr>
          <w:fldChar w:fldCharType="end"/>
        </w:r>
      </w:p>
    </w:sdtContent>
  </w:sdt>
  <w:p w14:paraId="7B619392" w14:textId="77777777" w:rsidR="00426866" w:rsidRDefault="004268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5CAFF" w14:textId="77777777" w:rsidR="00426866" w:rsidRDefault="00467B07">
    <w:pPr>
      <w:pStyle w:val="Header"/>
    </w:pPr>
    <w:r w:rsidRPr="00467B07">
      <w:rPr>
        <w:noProof/>
      </w:rPr>
      <w:drawing>
        <wp:anchor distT="0" distB="0" distL="114300" distR="114300" simplePos="0" relativeHeight="251657728" behindDoc="0" locked="0" layoutInCell="1" allowOverlap="1" wp14:anchorId="2799DCCC" wp14:editId="54B84298">
          <wp:simplePos x="0" y="0"/>
          <wp:positionH relativeFrom="column">
            <wp:posOffset>4535805</wp:posOffset>
          </wp:positionH>
          <wp:positionV relativeFrom="paragraph">
            <wp:posOffset>38100</wp:posOffset>
          </wp:positionV>
          <wp:extent cx="1931895" cy="341549"/>
          <wp:effectExtent l="0" t="0" r="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urcewell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1895" cy="3415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1NTI2NTQ0NDe3MDRU0lEKTi0uzszPAykwrgUAaCe2iCwAAAA="/>
  </w:docVars>
  <w:rsids>
    <w:rsidRoot w:val="005330E6"/>
    <w:rsid w:val="00007986"/>
    <w:rsid w:val="0001071F"/>
    <w:rsid w:val="00077A10"/>
    <w:rsid w:val="0008710B"/>
    <w:rsid w:val="000B6CDF"/>
    <w:rsid w:val="000D10DE"/>
    <w:rsid w:val="000D4FF1"/>
    <w:rsid w:val="000D78F5"/>
    <w:rsid w:val="000F4DBB"/>
    <w:rsid w:val="00111CB8"/>
    <w:rsid w:val="0013794B"/>
    <w:rsid w:val="00151598"/>
    <w:rsid w:val="00161635"/>
    <w:rsid w:val="00174076"/>
    <w:rsid w:val="00183E89"/>
    <w:rsid w:val="001A4192"/>
    <w:rsid w:val="001B2A3C"/>
    <w:rsid w:val="001B4A42"/>
    <w:rsid w:val="001B7EDD"/>
    <w:rsid w:val="001C415B"/>
    <w:rsid w:val="001C7C77"/>
    <w:rsid w:val="001E143F"/>
    <w:rsid w:val="001F1C27"/>
    <w:rsid w:val="00211BA2"/>
    <w:rsid w:val="00214FB1"/>
    <w:rsid w:val="00241533"/>
    <w:rsid w:val="002432BA"/>
    <w:rsid w:val="00247544"/>
    <w:rsid w:val="00247758"/>
    <w:rsid w:val="002523C9"/>
    <w:rsid w:val="00255A43"/>
    <w:rsid w:val="0029050F"/>
    <w:rsid w:val="002B148F"/>
    <w:rsid w:val="002E7E03"/>
    <w:rsid w:val="002F0CFD"/>
    <w:rsid w:val="00303638"/>
    <w:rsid w:val="003044A5"/>
    <w:rsid w:val="00321C3B"/>
    <w:rsid w:val="00321F94"/>
    <w:rsid w:val="003352AE"/>
    <w:rsid w:val="003529DE"/>
    <w:rsid w:val="00353CB1"/>
    <w:rsid w:val="0036522A"/>
    <w:rsid w:val="003656F5"/>
    <w:rsid w:val="00375CC2"/>
    <w:rsid w:val="00376DF9"/>
    <w:rsid w:val="00392826"/>
    <w:rsid w:val="003B5F5D"/>
    <w:rsid w:val="003B6D58"/>
    <w:rsid w:val="003C72A4"/>
    <w:rsid w:val="00411705"/>
    <w:rsid w:val="00414D05"/>
    <w:rsid w:val="00420B23"/>
    <w:rsid w:val="00426866"/>
    <w:rsid w:val="004440D8"/>
    <w:rsid w:val="00450C3D"/>
    <w:rsid w:val="004539A3"/>
    <w:rsid w:val="004557B6"/>
    <w:rsid w:val="00467B07"/>
    <w:rsid w:val="00481715"/>
    <w:rsid w:val="00485735"/>
    <w:rsid w:val="004A2C10"/>
    <w:rsid w:val="004B68AF"/>
    <w:rsid w:val="004C1F1F"/>
    <w:rsid w:val="004D6B13"/>
    <w:rsid w:val="004F3ED1"/>
    <w:rsid w:val="005330E6"/>
    <w:rsid w:val="00561DE1"/>
    <w:rsid w:val="00575FA3"/>
    <w:rsid w:val="00584655"/>
    <w:rsid w:val="005900F4"/>
    <w:rsid w:val="0059308F"/>
    <w:rsid w:val="00595541"/>
    <w:rsid w:val="005A7773"/>
    <w:rsid w:val="005B0F6B"/>
    <w:rsid w:val="005B73AA"/>
    <w:rsid w:val="005E02B8"/>
    <w:rsid w:val="00617693"/>
    <w:rsid w:val="00631AD0"/>
    <w:rsid w:val="0067632E"/>
    <w:rsid w:val="00676507"/>
    <w:rsid w:val="00680DED"/>
    <w:rsid w:val="00684802"/>
    <w:rsid w:val="006911AC"/>
    <w:rsid w:val="00691FCB"/>
    <w:rsid w:val="00692C13"/>
    <w:rsid w:val="00693122"/>
    <w:rsid w:val="00693223"/>
    <w:rsid w:val="00694659"/>
    <w:rsid w:val="006A591D"/>
    <w:rsid w:val="006B11B8"/>
    <w:rsid w:val="006C223D"/>
    <w:rsid w:val="006C3E52"/>
    <w:rsid w:val="006D08CA"/>
    <w:rsid w:val="006D24FD"/>
    <w:rsid w:val="006D5822"/>
    <w:rsid w:val="006F2321"/>
    <w:rsid w:val="006F6924"/>
    <w:rsid w:val="00706FAE"/>
    <w:rsid w:val="00713603"/>
    <w:rsid w:val="0071662E"/>
    <w:rsid w:val="00732460"/>
    <w:rsid w:val="0073313B"/>
    <w:rsid w:val="00741589"/>
    <w:rsid w:val="00752416"/>
    <w:rsid w:val="00752947"/>
    <w:rsid w:val="00752F46"/>
    <w:rsid w:val="007622CE"/>
    <w:rsid w:val="00762A9C"/>
    <w:rsid w:val="0079285B"/>
    <w:rsid w:val="007B02E2"/>
    <w:rsid w:val="007C604A"/>
    <w:rsid w:val="007E3BF9"/>
    <w:rsid w:val="00803DC3"/>
    <w:rsid w:val="008172B4"/>
    <w:rsid w:val="008251E7"/>
    <w:rsid w:val="00845FA1"/>
    <w:rsid w:val="00850CCA"/>
    <w:rsid w:val="0085517D"/>
    <w:rsid w:val="00861571"/>
    <w:rsid w:val="00866ED9"/>
    <w:rsid w:val="008A123F"/>
    <w:rsid w:val="008B65A6"/>
    <w:rsid w:val="008B65E4"/>
    <w:rsid w:val="008C3DFD"/>
    <w:rsid w:val="008F06B1"/>
    <w:rsid w:val="0091416D"/>
    <w:rsid w:val="00935CB9"/>
    <w:rsid w:val="009367F8"/>
    <w:rsid w:val="0094301F"/>
    <w:rsid w:val="00956D3D"/>
    <w:rsid w:val="0096536E"/>
    <w:rsid w:val="00967D81"/>
    <w:rsid w:val="00983315"/>
    <w:rsid w:val="009931D4"/>
    <w:rsid w:val="009A0C71"/>
    <w:rsid w:val="009B2BA8"/>
    <w:rsid w:val="009B418E"/>
    <w:rsid w:val="009D1B5B"/>
    <w:rsid w:val="009D7F9B"/>
    <w:rsid w:val="009E0046"/>
    <w:rsid w:val="009F5C4B"/>
    <w:rsid w:val="00A04B20"/>
    <w:rsid w:val="00A04E05"/>
    <w:rsid w:val="00A16219"/>
    <w:rsid w:val="00A351EF"/>
    <w:rsid w:val="00A40404"/>
    <w:rsid w:val="00A414C5"/>
    <w:rsid w:val="00A62243"/>
    <w:rsid w:val="00A638B0"/>
    <w:rsid w:val="00A63C55"/>
    <w:rsid w:val="00A70780"/>
    <w:rsid w:val="00A815BB"/>
    <w:rsid w:val="00A92126"/>
    <w:rsid w:val="00AC55E8"/>
    <w:rsid w:val="00AD1FF4"/>
    <w:rsid w:val="00AF2D25"/>
    <w:rsid w:val="00B02AD3"/>
    <w:rsid w:val="00B037AC"/>
    <w:rsid w:val="00B06DA4"/>
    <w:rsid w:val="00B10D22"/>
    <w:rsid w:val="00B11E94"/>
    <w:rsid w:val="00B158DD"/>
    <w:rsid w:val="00B23F04"/>
    <w:rsid w:val="00B500DD"/>
    <w:rsid w:val="00B57F20"/>
    <w:rsid w:val="00B60D69"/>
    <w:rsid w:val="00B66981"/>
    <w:rsid w:val="00B73F26"/>
    <w:rsid w:val="00B8174F"/>
    <w:rsid w:val="00B9704B"/>
    <w:rsid w:val="00BA5876"/>
    <w:rsid w:val="00BB7789"/>
    <w:rsid w:val="00BD11FC"/>
    <w:rsid w:val="00BD76D3"/>
    <w:rsid w:val="00C16121"/>
    <w:rsid w:val="00C21FAA"/>
    <w:rsid w:val="00C678C8"/>
    <w:rsid w:val="00C738FA"/>
    <w:rsid w:val="00C90AD3"/>
    <w:rsid w:val="00C967CC"/>
    <w:rsid w:val="00CB12C1"/>
    <w:rsid w:val="00CB6542"/>
    <w:rsid w:val="00CB6833"/>
    <w:rsid w:val="00CD4369"/>
    <w:rsid w:val="00CE7BD2"/>
    <w:rsid w:val="00CF26C0"/>
    <w:rsid w:val="00D14F58"/>
    <w:rsid w:val="00D347F6"/>
    <w:rsid w:val="00D36595"/>
    <w:rsid w:val="00D37D9A"/>
    <w:rsid w:val="00D45D18"/>
    <w:rsid w:val="00D46FC6"/>
    <w:rsid w:val="00D5276C"/>
    <w:rsid w:val="00D56CDB"/>
    <w:rsid w:val="00D611B7"/>
    <w:rsid w:val="00D64C74"/>
    <w:rsid w:val="00D709CC"/>
    <w:rsid w:val="00D9684C"/>
    <w:rsid w:val="00DA0283"/>
    <w:rsid w:val="00DC7E20"/>
    <w:rsid w:val="00DD127B"/>
    <w:rsid w:val="00DD5A15"/>
    <w:rsid w:val="00DE3ADA"/>
    <w:rsid w:val="00DE7385"/>
    <w:rsid w:val="00E14279"/>
    <w:rsid w:val="00E161FA"/>
    <w:rsid w:val="00E21D56"/>
    <w:rsid w:val="00E4405C"/>
    <w:rsid w:val="00E470BF"/>
    <w:rsid w:val="00E5238E"/>
    <w:rsid w:val="00E63E61"/>
    <w:rsid w:val="00E6682B"/>
    <w:rsid w:val="00EA719C"/>
    <w:rsid w:val="00EC141C"/>
    <w:rsid w:val="00ED3A64"/>
    <w:rsid w:val="00ED5473"/>
    <w:rsid w:val="00EE65E8"/>
    <w:rsid w:val="00EF3FE6"/>
    <w:rsid w:val="00F03F8D"/>
    <w:rsid w:val="00F265A9"/>
    <w:rsid w:val="00F34891"/>
    <w:rsid w:val="00F35B61"/>
    <w:rsid w:val="00F44E0E"/>
    <w:rsid w:val="00F702C6"/>
    <w:rsid w:val="00F759F4"/>
    <w:rsid w:val="00F94A65"/>
    <w:rsid w:val="00FA0DF4"/>
    <w:rsid w:val="00FA372D"/>
    <w:rsid w:val="00FE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71CEB"/>
  <w15:chartTrackingRefBased/>
  <w15:docId w15:val="{D2D4F612-930E-41E8-86DE-125666320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py"/>
    <w:qFormat/>
    <w:rsid w:val="00183E89"/>
    <w:rPr>
      <w:rFonts w:ascii="Calibri" w:hAnsi="Calibri"/>
      <w:color w:val="3F3F3F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1FCB"/>
    <w:pPr>
      <w:keepNext/>
      <w:keepLines/>
      <w:outlineLvl w:val="0"/>
    </w:pPr>
    <w:rPr>
      <w:rFonts w:eastAsiaTheme="majorEastAsia" w:cstheme="majorBidi"/>
      <w:color w:val="ED8B00" w:themeColor="accen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CE"/>
    <w:pPr>
      <w:keepNext/>
      <w:keepLines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F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F8D"/>
  </w:style>
  <w:style w:type="paragraph" w:styleId="Footer">
    <w:name w:val="footer"/>
    <w:basedOn w:val="Normal"/>
    <w:link w:val="FooterChar"/>
    <w:uiPriority w:val="99"/>
    <w:unhideWhenUsed/>
    <w:rsid w:val="00F0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F8D"/>
  </w:style>
  <w:style w:type="paragraph" w:styleId="BalloonText">
    <w:name w:val="Balloon Text"/>
    <w:basedOn w:val="Normal"/>
    <w:link w:val="BalloonTextChar"/>
    <w:uiPriority w:val="99"/>
    <w:semiHidden/>
    <w:unhideWhenUsed/>
    <w:rsid w:val="00321C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C3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04B20"/>
    <w:rPr>
      <w:color w:val="808080"/>
    </w:rPr>
  </w:style>
  <w:style w:type="paragraph" w:customStyle="1" w:styleId="BasicParagraph">
    <w:name w:val="[Basic Paragraph]"/>
    <w:basedOn w:val="Normal"/>
    <w:uiPriority w:val="99"/>
    <w:rsid w:val="00D64C7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123F"/>
    <w:rPr>
      <w:color w:val="2E75B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D3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50C3D"/>
    <w:rPr>
      <w:color w:val="612141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5B0F6B"/>
    <w:pPr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0F6B"/>
    <w:rPr>
      <w:rFonts w:ascii="Calibri" w:eastAsiaTheme="majorEastAsia" w:hAnsi="Calibri" w:cstheme="majorBidi"/>
      <w:color w:val="3F3F3F" w:themeColor="text1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1FCB"/>
    <w:rPr>
      <w:rFonts w:ascii="Calibri" w:eastAsiaTheme="majorEastAsia" w:hAnsi="Calibri" w:cstheme="majorBidi"/>
      <w:color w:val="ED8B00" w:themeColor="accen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622CE"/>
    <w:rPr>
      <w:rFonts w:ascii="Calibri" w:eastAsiaTheme="majorEastAsia" w:hAnsi="Calibri" w:cstheme="majorBidi"/>
      <w:b/>
      <w:color w:val="3F3F3F" w:themeColor="text1"/>
      <w:szCs w:val="26"/>
    </w:rPr>
  </w:style>
  <w:style w:type="paragraph" w:customStyle="1" w:styleId="HyperlinkorURL">
    <w:name w:val="Hyperlink or URL"/>
    <w:basedOn w:val="Normal"/>
    <w:link w:val="HyperlinkorURLChar"/>
    <w:qFormat/>
    <w:rsid w:val="004B68AF"/>
    <w:rPr>
      <w:color w:val="2E75B5" w:themeColor="hyperlink"/>
    </w:rPr>
  </w:style>
  <w:style w:type="character" w:customStyle="1" w:styleId="HyperlinkorURLChar">
    <w:name w:val="Hyperlink or URL Char"/>
    <w:basedOn w:val="DefaultParagraphFont"/>
    <w:link w:val="HyperlinkorURL"/>
    <w:rsid w:val="004B68AF"/>
    <w:rPr>
      <w:rFonts w:ascii="Calibri" w:hAnsi="Calibri"/>
      <w:color w:val="2E75B5" w:themeColor="hyperlink"/>
    </w:rPr>
  </w:style>
  <w:style w:type="table" w:styleId="TableGrid">
    <w:name w:val="Table Grid"/>
    <w:basedOn w:val="TableNormal"/>
    <w:uiPriority w:val="39"/>
    <w:rsid w:val="00DD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qFormat/>
    <w:rsid w:val="00DD5A15"/>
    <w:rPr>
      <w:color w:val="FFFFFF" w:themeColor="background1"/>
      <w:sz w:val="28"/>
    </w:rPr>
  </w:style>
  <w:style w:type="paragraph" w:customStyle="1" w:styleId="Tablecopy">
    <w:name w:val="Table copy"/>
    <w:basedOn w:val="Normal"/>
    <w:link w:val="TablecopyChar"/>
    <w:qFormat/>
    <w:rsid w:val="00DD5A15"/>
  </w:style>
  <w:style w:type="character" w:customStyle="1" w:styleId="TableheadingChar">
    <w:name w:val="Table heading Char"/>
    <w:basedOn w:val="DefaultParagraphFont"/>
    <w:link w:val="Tableheading"/>
    <w:rsid w:val="00DD5A15"/>
    <w:rPr>
      <w:rFonts w:ascii="Calibri" w:hAnsi="Calibri"/>
      <w:color w:val="FFFFFF" w:themeColor="background1"/>
      <w:sz w:val="28"/>
    </w:rPr>
  </w:style>
  <w:style w:type="character" w:customStyle="1" w:styleId="TablecopyChar">
    <w:name w:val="Table copy Char"/>
    <w:basedOn w:val="DefaultParagraphFont"/>
    <w:link w:val="Tablecopy"/>
    <w:rsid w:val="00DD5A15"/>
    <w:rPr>
      <w:rFonts w:ascii="Calibri" w:hAnsi="Calibri"/>
      <w:color w:val="3F3F3F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9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llevold\OneDrive%20-%20Sourcewell\Desktop\Regional%20Licensing%20Specalist\Blank%20Letter%20Sourcewell.dotx" TargetMode="External"/></Relationships>
</file>

<file path=word/theme/theme1.xml><?xml version="1.0" encoding="utf-8"?>
<a:theme xmlns:a="http://schemas.openxmlformats.org/drawingml/2006/main" name="Office Theme">
  <a:themeElements>
    <a:clrScheme name="Sourcewell">
      <a:dk1>
        <a:srgbClr val="3F3F3F"/>
      </a:dk1>
      <a:lt1>
        <a:sysClr val="window" lastClr="FFFFFF"/>
      </a:lt1>
      <a:dk2>
        <a:srgbClr val="6E6259"/>
      </a:dk2>
      <a:lt2>
        <a:srgbClr val="FFFFFF"/>
      </a:lt2>
      <a:accent1>
        <a:srgbClr val="ED8B00"/>
      </a:accent1>
      <a:accent2>
        <a:srgbClr val="506D85"/>
      </a:accent2>
      <a:accent3>
        <a:srgbClr val="7A9A01"/>
      </a:accent3>
      <a:accent4>
        <a:srgbClr val="009CA6"/>
      </a:accent4>
      <a:accent5>
        <a:srgbClr val="009FDF"/>
      </a:accent5>
      <a:accent6>
        <a:srgbClr val="565294"/>
      </a:accent6>
      <a:hlink>
        <a:srgbClr val="2E75B5"/>
      </a:hlink>
      <a:folHlink>
        <a:srgbClr val="61214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48866EFBF41D498F7CE19998C763D0" ma:contentTypeVersion="21" ma:contentTypeDescription="Create a new document." ma:contentTypeScope="" ma:versionID="69add2649f3d815a69b59b89f1c2807a">
  <xsd:schema xmlns:xsd="http://www.w3.org/2001/XMLSchema" xmlns:xs="http://www.w3.org/2001/XMLSchema" xmlns:p="http://schemas.microsoft.com/office/2006/metadata/properties" xmlns:ns2="100e16be-ba04-451e-99b0-c2b36cf9e575" xmlns:ns3="6d1f4751-7261-47eb-a39f-3c099168a156" xmlns:ns4="5247ea59-7632-48e6-bc00-72f15bb7fb38" targetNamespace="http://schemas.microsoft.com/office/2006/metadata/properties" ma:root="true" ma:fieldsID="091b8e5499e35f594f8765bc02e6dcd0" ns2:_="" ns3:_="" ns4:_="">
    <xsd:import namespace="100e16be-ba04-451e-99b0-c2b36cf9e575"/>
    <xsd:import namespace="6d1f4751-7261-47eb-a39f-3c099168a156"/>
    <xsd:import namespace="5247ea59-7632-48e6-bc00-72f15bb7f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e16be-ba04-451e-99b0-c2b36cf9e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40b0177-dd33-438c-912e-8b68433a1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f4751-7261-47eb-a39f-3c099168a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7ea59-7632-48e6-bc00-72f15bb7fb3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7b34fbb-40f1-4960-bd89-8f9792ce5ac4}" ma:internalName="TaxCatchAll" ma:showField="CatchAllData" ma:web="5247ea59-7632-48e6-bc00-72f15bb7f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0e16be-ba04-451e-99b0-c2b36cf9e575">
      <Terms xmlns="http://schemas.microsoft.com/office/infopath/2007/PartnerControls"/>
    </lcf76f155ced4ddcb4097134ff3c332f>
    <TaxCatchAll xmlns="5247ea59-7632-48e6-bc00-72f15bb7fb38" xsi:nil="true"/>
  </documentManagement>
</p:properties>
</file>

<file path=customXml/itemProps1.xml><?xml version="1.0" encoding="utf-8"?>
<ds:datastoreItem xmlns:ds="http://schemas.openxmlformats.org/officeDocument/2006/customXml" ds:itemID="{03AFE868-401D-45B2-84B3-C886D48C4B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0C6E2-F848-4CBC-8A52-2AE7E1635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e16be-ba04-451e-99b0-c2b36cf9e575"/>
    <ds:schemaRef ds:uri="6d1f4751-7261-47eb-a39f-3c099168a156"/>
    <ds:schemaRef ds:uri="5247ea59-7632-48e6-bc00-72f15bb7fb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070B1-B3A2-4454-9674-A6C764E11A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44FC39-938C-45C1-AEAE-3460449EF73A}">
  <ds:schemaRefs>
    <ds:schemaRef ds:uri="http://schemas.microsoft.com/office/2006/metadata/properties"/>
    <ds:schemaRef ds:uri="http://schemas.microsoft.com/office/infopath/2007/PartnerControls"/>
    <ds:schemaRef ds:uri="100e16be-ba04-451e-99b0-c2b36cf9e575"/>
    <ds:schemaRef ds:uri="5247ea59-7632-48e6-bc00-72f15bb7fb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Letter Sourcewell</Template>
  <TotalTime>51</TotalTime>
  <Pages>4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Nichole Ellevold</dc:creator>
  <cp:keywords/>
  <dc:description/>
  <cp:lastModifiedBy>Nichole Huebsch</cp:lastModifiedBy>
  <cp:revision>28</cp:revision>
  <cp:lastPrinted>2018-02-01T20:33:00Z</cp:lastPrinted>
  <dcterms:created xsi:type="dcterms:W3CDTF">2022-05-31T20:16:00Z</dcterms:created>
  <dcterms:modified xsi:type="dcterms:W3CDTF">2025-02-05T14:26:00Z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0x0101009048866EFBF41D498F7CE19998C763D0</vt:lpwstr>
  </property>
  <property fmtid="{D5CDD505-2E9C-101B-9397-08002B2CF9AE}" pid="3" name="_EndDate">
    <vt:filetime>2019-07-09T18:15:28Z</vt:filetime>
  </property>
  <property fmtid="{D5CDD505-2E9C-101B-9397-08002B2CF9AE}" pid="4" name="StartDate">
    <vt:filetime>2019-07-09T18:15:28Z</vt:filetime>
  </property>
  <property fmtid="{D5CDD505-2E9C-101B-9397-08002B2CF9AE}" pid="5" name="MediaServiceImageTags">
    <vt:lpwstr/>
  </property>
</Properties>
</file>