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CCAAD" w14:textId="77777777" w:rsidR="00D61DCE" w:rsidRDefault="00797B46">
      <w:pPr>
        <w:pStyle w:val="Heading1"/>
      </w:pPr>
      <w:r>
        <w:rPr>
          <w:color w:val="EB7B2F"/>
        </w:rPr>
        <w:t>Licensed</w:t>
      </w:r>
      <w:r>
        <w:rPr>
          <w:color w:val="EB7B2F"/>
          <w:spacing w:val="-16"/>
        </w:rPr>
        <w:t xml:space="preserve"> </w:t>
      </w:r>
      <w:r>
        <w:rPr>
          <w:color w:val="EB7B2F"/>
        </w:rPr>
        <w:t>Family</w:t>
      </w:r>
      <w:r>
        <w:rPr>
          <w:color w:val="EB7B2F"/>
          <w:spacing w:val="-14"/>
        </w:rPr>
        <w:t xml:space="preserve"> </w:t>
      </w:r>
      <w:r>
        <w:rPr>
          <w:color w:val="EB7B2F"/>
        </w:rPr>
        <w:t>Child</w:t>
      </w:r>
      <w:r>
        <w:rPr>
          <w:color w:val="EB7B2F"/>
          <w:spacing w:val="-13"/>
        </w:rPr>
        <w:t xml:space="preserve"> </w:t>
      </w:r>
      <w:r>
        <w:rPr>
          <w:color w:val="EB7B2F"/>
        </w:rPr>
        <w:t>Care</w:t>
      </w:r>
      <w:r>
        <w:rPr>
          <w:color w:val="EB7B2F"/>
          <w:spacing w:val="-13"/>
        </w:rPr>
        <w:t xml:space="preserve"> </w:t>
      </w:r>
      <w:r>
        <w:rPr>
          <w:color w:val="EB7B2F"/>
          <w:spacing w:val="-2"/>
        </w:rPr>
        <w:t>Overview</w:t>
      </w:r>
    </w:p>
    <w:p w14:paraId="5F5CCAAF" w14:textId="2223F583" w:rsidR="00D61DCE" w:rsidRPr="00FE7D22" w:rsidRDefault="00797B46" w:rsidP="00A95E86">
      <w:pPr>
        <w:ind w:left="270"/>
      </w:pPr>
      <w:r w:rsidRPr="00FE7D22">
        <w:t>Quality child care is a cornerstone of community success and vital to the healthy development of children served. We receive multiple inquiries from advocacy groups, city and county oﬃcials, and individuals about how to start family child care businesses in their area.</w:t>
      </w:r>
      <w:r w:rsidR="00A95E86">
        <w:t xml:space="preserve"> </w:t>
      </w:r>
      <w:r w:rsidRPr="00FE7D22">
        <w:t xml:space="preserve">This information is meant to be </w:t>
      </w:r>
      <w:proofErr w:type="gramStart"/>
      <w:r w:rsidRPr="00FE7D22">
        <w:t>a starting</w:t>
      </w:r>
      <w:proofErr w:type="gramEnd"/>
      <w:r w:rsidRPr="00FE7D22">
        <w:t xml:space="preserve"> point to answering those questions. Connect with our </w:t>
      </w:r>
      <w:r w:rsidR="002C7771">
        <w:t>l</w:t>
      </w:r>
      <w:r w:rsidRPr="00FE7D22">
        <w:t xml:space="preserve">icensing team for further conversation: </w:t>
      </w:r>
      <w:hyperlink r:id="rId10">
        <w:r w:rsidR="00D61DCE" w:rsidRPr="00FE7D22">
          <w:rPr>
            <w:color w:val="0561C1"/>
            <w:u w:val="single" w:color="0561C1"/>
          </w:rPr>
          <w:t>htps://mn.sourcewell.org/licensing/family-child-care</w:t>
        </w:r>
      </w:hyperlink>
    </w:p>
    <w:p w14:paraId="5F5CCAB0" w14:textId="77777777" w:rsidR="00D61DCE" w:rsidRPr="00FE7D22" w:rsidRDefault="00D61DCE">
      <w:pPr>
        <w:pStyle w:val="BodyText"/>
        <w:spacing w:before="3"/>
        <w:ind w:left="0" w:firstLine="0"/>
      </w:pPr>
    </w:p>
    <w:p w14:paraId="5F5CCAB1" w14:textId="77777777" w:rsidR="00D61DCE" w:rsidRPr="00FE7D22" w:rsidRDefault="00797B46">
      <w:pPr>
        <w:pStyle w:val="Heading2"/>
        <w:spacing w:line="268" w:lineRule="exact"/>
      </w:pPr>
      <w:bookmarkStart w:id="0" w:name="WHAT_IS_FAMILY_CHILD_CARE"/>
      <w:bookmarkEnd w:id="0"/>
      <w:r w:rsidRPr="00FE7D22">
        <w:rPr>
          <w:color w:val="EB7B2F"/>
        </w:rPr>
        <w:t>WHAT IS FAMILY CHILD CARE</w:t>
      </w:r>
    </w:p>
    <w:p w14:paraId="5F5CCAB2" w14:textId="1B62C682" w:rsidR="00D61DCE" w:rsidRPr="00FE7D22" w:rsidRDefault="00797B46">
      <w:pPr>
        <w:pStyle w:val="BodyText"/>
        <w:ind w:left="288" w:right="344" w:hanging="1"/>
      </w:pPr>
      <w:r>
        <w:t xml:space="preserve">In Minnesota, any child 10 years old and younger who is cared for outside of their own </w:t>
      </w:r>
      <w:proofErr w:type="gramStart"/>
      <w:r>
        <w:t>home,</w:t>
      </w:r>
      <w:proofErr w:type="gramEnd"/>
      <w:r>
        <w:t xml:space="preserve"> must be cared for in a legal child care setting. </w:t>
      </w:r>
      <w:r w:rsidR="5DA9A05D">
        <w:t>Licensed f</w:t>
      </w:r>
      <w:r>
        <w:t xml:space="preserve">amily </w:t>
      </w:r>
      <w:r w:rsidR="2224AB84">
        <w:t>c</w:t>
      </w:r>
      <w:r>
        <w:t xml:space="preserve">hild </w:t>
      </w:r>
      <w:r w:rsidR="2224AB84">
        <w:t>c</w:t>
      </w:r>
      <w:r>
        <w:t xml:space="preserve">are is one of those legal </w:t>
      </w:r>
      <w:r w:rsidR="00FE7D22">
        <w:t>settings</w:t>
      </w:r>
      <w:r>
        <w:t>. Other types include licensed child care centers, license exempt preschool and school age programs, and legally unlicensed care, referred to as family, friend, and neighbor care.</w:t>
      </w:r>
    </w:p>
    <w:p w14:paraId="5F5CCAB3" w14:textId="77777777" w:rsidR="00D61DCE" w:rsidRPr="00FE7D22" w:rsidRDefault="00797B46">
      <w:pPr>
        <w:pStyle w:val="BodyText"/>
        <w:spacing w:before="268" w:line="268" w:lineRule="exact"/>
        <w:ind w:left="289" w:firstLine="0"/>
        <w:rPr>
          <w:b/>
          <w:bCs/>
        </w:rPr>
      </w:pPr>
      <w:r w:rsidRPr="00FE7D22">
        <w:rPr>
          <w:b/>
          <w:bCs/>
        </w:rPr>
        <w:t>Licensing Oversight</w:t>
      </w:r>
    </w:p>
    <w:p w14:paraId="5F5CCAB4" w14:textId="6F1A06DB" w:rsidR="00D61DCE" w:rsidRPr="00FE7D22" w:rsidRDefault="00797B46">
      <w:pPr>
        <w:pStyle w:val="BodyText"/>
        <w:ind w:left="287" w:right="344" w:firstLine="0"/>
      </w:pPr>
      <w:r w:rsidRPr="00FE7D22">
        <w:t>Under the auspices of the MN Department of Children, Youth, and Families (DCYF), family child care licensing is the responsibility of the county where the program is located. Sourcewell partners with certain counties to oﬀer family child care licensing services. Family child care is governed by Minnesota regulations, primarily MN Administrative Rule 9502 and MN Statute 142B.</w:t>
      </w:r>
    </w:p>
    <w:p w14:paraId="5F5CCAB5" w14:textId="5F5953C0" w:rsidR="00D61DCE" w:rsidRPr="00FE7D22" w:rsidRDefault="00797B46" w:rsidP="16599663">
      <w:pPr>
        <w:pStyle w:val="BodyText"/>
        <w:spacing w:before="265"/>
        <w:ind w:left="287" w:firstLine="1"/>
        <w:rPr>
          <w:color w:val="0561C1"/>
          <w:u w:val="single"/>
        </w:rPr>
      </w:pPr>
      <w:r>
        <w:t xml:space="preserve">We often get asked about child care centers. We do not </w:t>
      </w:r>
      <w:r w:rsidR="18547137">
        <w:t>oversee</w:t>
      </w:r>
      <w:r>
        <w:t xml:space="preserve"> this licensed type. Child care centers are licensed directly through DCYF. Information can be found here: </w:t>
      </w:r>
      <w:hyperlink r:id="rId11">
        <w:r w:rsidR="00D61DCE" w:rsidRPr="16599663">
          <w:rPr>
            <w:color w:val="0561C1"/>
            <w:u w:val="single"/>
          </w:rPr>
          <w:t>https://dcyf.mn.gov/</w:t>
        </w:r>
      </w:hyperlink>
    </w:p>
    <w:p w14:paraId="5F5CCAB6" w14:textId="77777777" w:rsidR="00D61DCE" w:rsidRPr="00FE7D22" w:rsidRDefault="00D61DCE">
      <w:pPr>
        <w:pStyle w:val="BodyText"/>
        <w:spacing w:before="3"/>
        <w:ind w:left="0" w:firstLine="0"/>
      </w:pPr>
    </w:p>
    <w:p w14:paraId="5F5CCAB7" w14:textId="77777777" w:rsidR="00D61DCE" w:rsidRPr="00FE7D22" w:rsidRDefault="00797B46">
      <w:pPr>
        <w:pStyle w:val="BodyText"/>
        <w:spacing w:before="1"/>
        <w:ind w:left="289" w:firstLine="0"/>
        <w:rPr>
          <w:b/>
          <w:bCs/>
        </w:rPr>
      </w:pPr>
      <w:r w:rsidRPr="00FE7D22">
        <w:rPr>
          <w:b/>
          <w:bCs/>
        </w:rPr>
        <w:t>Family Child Care Capacities</w:t>
      </w:r>
    </w:p>
    <w:p w14:paraId="5F5CCAB8" w14:textId="77777777" w:rsidR="00D61DCE" w:rsidRPr="00FE7D22" w:rsidRDefault="00797B46">
      <w:pPr>
        <w:pStyle w:val="ListParagraph"/>
        <w:numPr>
          <w:ilvl w:val="0"/>
          <w:numId w:val="1"/>
        </w:numPr>
        <w:tabs>
          <w:tab w:val="left" w:pos="1008"/>
        </w:tabs>
        <w:ind w:left="1008" w:hanging="360"/>
      </w:pPr>
      <w:r w:rsidRPr="00FE7D22">
        <w:t>Multi-age group of children, ages infant through 10 years old</w:t>
      </w:r>
    </w:p>
    <w:p w14:paraId="5F5CCAB9" w14:textId="77777777" w:rsidR="00D61DCE" w:rsidRPr="00FE7D22" w:rsidRDefault="00797B46">
      <w:pPr>
        <w:pStyle w:val="ListParagraph"/>
        <w:numPr>
          <w:ilvl w:val="0"/>
          <w:numId w:val="1"/>
        </w:numPr>
        <w:tabs>
          <w:tab w:val="left" w:pos="1008"/>
        </w:tabs>
        <w:ind w:left="1008" w:hanging="360"/>
      </w:pPr>
      <w:r w:rsidRPr="00FE7D22">
        <w:t xml:space="preserve">Traditionally, one caregiver </w:t>
      </w:r>
      <w:proofErr w:type="gramStart"/>
      <w:r w:rsidRPr="00FE7D22">
        <w:t>present;</w:t>
      </w:r>
      <w:proofErr w:type="gramEnd"/>
      <w:r w:rsidRPr="00FE7D22">
        <w:t xml:space="preserve"> can have additional caregivers</w:t>
      </w:r>
    </w:p>
    <w:p w14:paraId="5F5CCABA" w14:textId="77777777" w:rsidR="00D61DCE" w:rsidRPr="00FE7D22" w:rsidRDefault="00797B46">
      <w:pPr>
        <w:pStyle w:val="ListParagraph"/>
        <w:numPr>
          <w:ilvl w:val="0"/>
          <w:numId w:val="1"/>
        </w:numPr>
        <w:tabs>
          <w:tab w:val="left" w:pos="1009"/>
        </w:tabs>
        <w:ind w:left="1009" w:hanging="360"/>
      </w:pPr>
      <w:r w:rsidRPr="00FE7D22">
        <w:t>Varying license capacities available that dictate ratios and age distribution</w:t>
      </w:r>
    </w:p>
    <w:p w14:paraId="5F5CCABB" w14:textId="77777777" w:rsidR="00D61DCE" w:rsidRPr="00FE7D22" w:rsidRDefault="00797B46">
      <w:pPr>
        <w:pStyle w:val="ListParagraph"/>
        <w:numPr>
          <w:ilvl w:val="0"/>
          <w:numId w:val="1"/>
        </w:numPr>
        <w:tabs>
          <w:tab w:val="left" w:pos="1010"/>
        </w:tabs>
        <w:spacing w:before="5"/>
        <w:ind w:left="1010"/>
      </w:pPr>
      <w:r w:rsidRPr="00FE7D22">
        <w:t>Capacity limited to 12 children with one caregiver; Max of 14 children with at least two caregivers present</w:t>
      </w:r>
    </w:p>
    <w:p w14:paraId="5F5CCABC" w14:textId="77777777" w:rsidR="00D61DCE" w:rsidRPr="00FE7D22" w:rsidRDefault="00797B46">
      <w:pPr>
        <w:pStyle w:val="ListParagraph"/>
        <w:numPr>
          <w:ilvl w:val="0"/>
          <w:numId w:val="1"/>
        </w:numPr>
        <w:tabs>
          <w:tab w:val="left" w:pos="1011"/>
        </w:tabs>
        <w:spacing w:line="265" w:lineRule="exact"/>
        <w:ind w:left="1011" w:hanging="360"/>
      </w:pPr>
      <w:r w:rsidRPr="00FE7D22">
        <w:t>Limits of infant/toddler/preschooler ages within each license capacity</w:t>
      </w:r>
    </w:p>
    <w:p w14:paraId="5F5CCABD" w14:textId="77777777" w:rsidR="00D61DCE" w:rsidRPr="00FE7D22" w:rsidRDefault="00797B46">
      <w:pPr>
        <w:pStyle w:val="ListParagraph"/>
        <w:numPr>
          <w:ilvl w:val="0"/>
          <w:numId w:val="1"/>
        </w:numPr>
        <w:tabs>
          <w:tab w:val="left" w:pos="1012"/>
        </w:tabs>
        <w:spacing w:line="265" w:lineRule="exact"/>
        <w:ind w:left="1012" w:hanging="360"/>
      </w:pPr>
      <w:r w:rsidRPr="00FE7D22">
        <w:t>Capacity in the ﬁrst 12 months of a license is dependent on the license holder’s education and experience</w:t>
      </w:r>
    </w:p>
    <w:p w14:paraId="5F5CCABE" w14:textId="77777777" w:rsidR="00D61DCE" w:rsidRPr="00FE7D22" w:rsidRDefault="00D61DCE">
      <w:pPr>
        <w:pStyle w:val="BodyText"/>
        <w:spacing w:before="1"/>
        <w:ind w:left="0" w:firstLine="0"/>
      </w:pPr>
    </w:p>
    <w:p w14:paraId="5F5CCABF" w14:textId="77777777" w:rsidR="00D61DCE" w:rsidRPr="00FE7D22" w:rsidRDefault="00797B46">
      <w:pPr>
        <w:pStyle w:val="Heading2"/>
        <w:ind w:left="292"/>
      </w:pPr>
      <w:bookmarkStart w:id="1" w:name="WHERE_CAN_FAMILY_CHILD_CARE_BE_LOCATED"/>
      <w:bookmarkEnd w:id="1"/>
      <w:r w:rsidRPr="00FE7D22">
        <w:rPr>
          <w:color w:val="EB7B2F"/>
        </w:rPr>
        <w:t>WHERE CAN FAMILY CHILD CARE BE LOCATED</w:t>
      </w:r>
    </w:p>
    <w:p w14:paraId="5F5CCAC3" w14:textId="3B8CB76C" w:rsidR="00D61DCE" w:rsidRPr="00283C95" w:rsidRDefault="00797B46" w:rsidP="00BA10BC">
      <w:pPr>
        <w:pStyle w:val="BodyText"/>
        <w:ind w:left="291" w:right="196" w:firstLine="1"/>
      </w:pPr>
      <w:r>
        <w:t xml:space="preserve">Traditionally, family child care programs </w:t>
      </w:r>
      <w:proofErr w:type="gramStart"/>
      <w:r>
        <w:t>are located in</w:t>
      </w:r>
      <w:proofErr w:type="gramEnd"/>
      <w:r>
        <w:t xml:space="preserve"> the license holder’s home. However, that is not the only location a program can operate. It is increasingly </w:t>
      </w:r>
      <w:proofErr w:type="gramStart"/>
      <w:r>
        <w:t>more common</w:t>
      </w:r>
      <w:proofErr w:type="gramEnd"/>
      <w:r>
        <w:t xml:space="preserve"> for programs to operate in nonresidential </w:t>
      </w:r>
      <w:r w:rsidR="70CD9D4E">
        <w:t>setting</w:t>
      </w:r>
      <w:r>
        <w:t xml:space="preserve">s. </w:t>
      </w:r>
    </w:p>
    <w:p w14:paraId="5F5CCAC4" w14:textId="3E614E59" w:rsidR="00D61DCE" w:rsidRPr="00283C95" w:rsidRDefault="00797B46">
      <w:pPr>
        <w:pStyle w:val="BodyText"/>
        <w:spacing w:before="262"/>
        <w:ind w:left="293" w:right="196" w:firstLine="0"/>
      </w:pPr>
      <w:r>
        <w:t xml:space="preserve">All locations must meet MN building and ﬁre code regulations and local zoning requirements. Locations can be owned or rented by the license holder. Non-residential locations can house up to four distinct and separate family child care programs. Residential locations can have only one licensed program. Outbuildings (garages, barns, sheds, etc.) on a residential </w:t>
      </w:r>
      <w:proofErr w:type="gramStart"/>
      <w:r>
        <w:t>lot,</w:t>
      </w:r>
      <w:proofErr w:type="gramEnd"/>
      <w:r>
        <w:t xml:space="preserve"> must be zoned as a residential building </w:t>
      </w:r>
      <w:proofErr w:type="gramStart"/>
      <w:r>
        <w:t>in order to</w:t>
      </w:r>
      <w:proofErr w:type="gramEnd"/>
      <w:r>
        <w:t xml:space="preserve"> be used as the licensed program space</w:t>
      </w:r>
      <w:r w:rsidR="13C2DC7B">
        <w:t xml:space="preserve"> and have their own </w:t>
      </w:r>
      <w:r w:rsidR="0DD5432A">
        <w:t>unique</w:t>
      </w:r>
      <w:r w:rsidR="13C2DC7B">
        <w:t xml:space="preserve"> address</w:t>
      </w:r>
      <w:r>
        <w:t>.</w:t>
      </w:r>
    </w:p>
    <w:p w14:paraId="5F5CCAC5" w14:textId="77777777" w:rsidR="00D61DCE" w:rsidRPr="00FE7D22" w:rsidRDefault="00797B46">
      <w:pPr>
        <w:pStyle w:val="Heading2"/>
        <w:spacing w:before="268"/>
      </w:pPr>
      <w:bookmarkStart w:id="2" w:name="WHO_CAN_HOLD_A_FAMILY_CHILD_CARE_LICENSE"/>
      <w:bookmarkEnd w:id="2"/>
      <w:r w:rsidRPr="00FE7D22">
        <w:rPr>
          <w:color w:val="EB7B2F"/>
        </w:rPr>
        <w:t>WHO CAN HOLD A FAMILY CHILD CARE LICENSE</w:t>
      </w:r>
    </w:p>
    <w:p w14:paraId="066196EB" w14:textId="77777777" w:rsidR="008070D0" w:rsidRDefault="00797B46" w:rsidP="002D1434">
      <w:pPr>
        <w:pStyle w:val="BodyText"/>
        <w:ind w:left="289" w:hanging="2"/>
      </w:pPr>
      <w:r w:rsidRPr="00FE7D22">
        <w:t>A family child care license holder can be one or more individuals, an employer, a church or religious organization, a community collaborative child care provider, or a non-proﬁt agency.</w:t>
      </w:r>
      <w:r w:rsidR="002D1434">
        <w:t xml:space="preserve"> </w:t>
      </w:r>
    </w:p>
    <w:p w14:paraId="137F9E0C" w14:textId="77777777" w:rsidR="008070D0" w:rsidRDefault="008070D0" w:rsidP="002D1434">
      <w:pPr>
        <w:pStyle w:val="BodyText"/>
        <w:ind w:left="289" w:hanging="2"/>
      </w:pPr>
    </w:p>
    <w:p w14:paraId="5F5CCAC8" w14:textId="04255B3F" w:rsidR="00D61DCE" w:rsidRPr="00FE7D22" w:rsidRDefault="002D1434" w:rsidP="002D1434">
      <w:pPr>
        <w:pStyle w:val="BodyText"/>
        <w:ind w:left="289" w:hanging="2"/>
      </w:pPr>
      <w:r>
        <w:t>Th</w:t>
      </w:r>
      <w:r w:rsidR="00797B46" w:rsidRPr="002D1434">
        <w:t>ere are restrictions and considerations for each type of license holder including where certain license holders can operate a program (residential vs. nonresidential).</w:t>
      </w:r>
      <w:r w:rsidR="00C9395F">
        <w:t xml:space="preserve"> N</w:t>
      </w:r>
      <w:r w:rsidR="00797B46" w:rsidRPr="002D1434">
        <w:t>on-proﬁts</w:t>
      </w:r>
      <w:r w:rsidR="00136755">
        <w:t>, churches</w:t>
      </w:r>
      <w:r w:rsidR="004A7E78">
        <w:t>/religious organizations</w:t>
      </w:r>
      <w:r w:rsidR="00136755">
        <w:t>,</w:t>
      </w:r>
      <w:r w:rsidR="00797B46" w:rsidRPr="002D1434">
        <w:t xml:space="preserve"> and employers </w:t>
      </w:r>
      <w:r w:rsidR="00C9395F">
        <w:t>may</w:t>
      </w:r>
      <w:r w:rsidR="00797B46" w:rsidRPr="002D1434">
        <w:t xml:space="preserve"> h</w:t>
      </w:r>
      <w:r w:rsidR="00797B46" w:rsidRPr="00FE7D22">
        <w:t>old up to four licenses. All other license types can hold only one license.</w:t>
      </w:r>
    </w:p>
    <w:p w14:paraId="5F5CCAC9" w14:textId="51BB1454" w:rsidR="00D61DCE" w:rsidRDefault="00797B46">
      <w:pPr>
        <w:pStyle w:val="BodyText"/>
        <w:spacing w:before="267"/>
        <w:ind w:left="288" w:right="253" w:hanging="1"/>
      </w:pPr>
      <w:r w:rsidRPr="00FE7D22">
        <w:t>When the license holder is an employer, church</w:t>
      </w:r>
      <w:r w:rsidR="004B14CB">
        <w:t>/</w:t>
      </w:r>
      <w:r w:rsidRPr="00FE7D22">
        <w:t>religious organization, or non-proﬁt agency, they must identify an individual to be the “primary provider of care”. This person will need to meet the requirements that would pertain to an individual license holder and will be the primary caregiver in the program.</w:t>
      </w:r>
    </w:p>
    <w:p w14:paraId="6C03883F" w14:textId="77777777" w:rsidR="002C7771" w:rsidRPr="00FE7D22" w:rsidRDefault="002C7771">
      <w:pPr>
        <w:pStyle w:val="BodyText"/>
        <w:spacing w:before="267"/>
        <w:ind w:left="288" w:right="253" w:hanging="1"/>
      </w:pPr>
    </w:p>
    <w:p w14:paraId="5F5CCACB" w14:textId="77777777" w:rsidR="00D61DCE" w:rsidRPr="00FE7D22" w:rsidRDefault="00797B46">
      <w:pPr>
        <w:pStyle w:val="BodyText"/>
        <w:ind w:left="288" w:firstLine="0"/>
      </w:pPr>
      <w:r w:rsidRPr="00FE7D22">
        <w:t>The minimum requirements for an individual to hold a license or be the primary provider of care are:</w:t>
      </w:r>
    </w:p>
    <w:p w14:paraId="5F5CCACC" w14:textId="77777777" w:rsidR="00D61DCE" w:rsidRPr="00FE7D22" w:rsidRDefault="00797B46">
      <w:pPr>
        <w:pStyle w:val="ListParagraph"/>
        <w:numPr>
          <w:ilvl w:val="0"/>
          <w:numId w:val="1"/>
        </w:numPr>
        <w:tabs>
          <w:tab w:val="left" w:pos="1010"/>
        </w:tabs>
        <w:ind w:left="1010" w:hanging="360"/>
      </w:pPr>
      <w:proofErr w:type="gramStart"/>
      <w:r w:rsidRPr="00FE7D22">
        <w:t>18</w:t>
      </w:r>
      <w:proofErr w:type="gramEnd"/>
      <w:r w:rsidRPr="00FE7D22">
        <w:t>+ years old</w:t>
      </w:r>
    </w:p>
    <w:p w14:paraId="5F5CCACD" w14:textId="77777777" w:rsidR="00D61DCE" w:rsidRPr="00FE7D22" w:rsidRDefault="00797B46">
      <w:pPr>
        <w:pStyle w:val="ListParagraph"/>
        <w:numPr>
          <w:ilvl w:val="0"/>
          <w:numId w:val="1"/>
        </w:numPr>
        <w:tabs>
          <w:tab w:val="left" w:pos="1010"/>
        </w:tabs>
        <w:spacing w:before="1"/>
        <w:ind w:left="1010" w:hanging="360"/>
      </w:pPr>
      <w:r w:rsidRPr="00FE7D22">
        <w:t>Be able to pass a physical examination</w:t>
      </w:r>
    </w:p>
    <w:p w14:paraId="5F5CCACE" w14:textId="77777777" w:rsidR="00D61DCE" w:rsidRDefault="00797B46">
      <w:pPr>
        <w:pStyle w:val="ListParagraph"/>
        <w:numPr>
          <w:ilvl w:val="0"/>
          <w:numId w:val="1"/>
        </w:numPr>
        <w:tabs>
          <w:tab w:val="left" w:pos="1011"/>
        </w:tabs>
        <w:ind w:left="1011" w:hanging="360"/>
      </w:pPr>
      <w:r w:rsidRPr="00FE7D22">
        <w:t>Be able to pass a background study</w:t>
      </w:r>
    </w:p>
    <w:p w14:paraId="7CFAEE8E" w14:textId="77777777" w:rsidR="006D262A" w:rsidRDefault="006D262A" w:rsidP="006D262A">
      <w:pPr>
        <w:tabs>
          <w:tab w:val="left" w:pos="1011"/>
        </w:tabs>
      </w:pPr>
    </w:p>
    <w:p w14:paraId="54A296CC" w14:textId="1E2E7E49" w:rsidR="006D262A" w:rsidRDefault="00600EBE" w:rsidP="006D262A">
      <w:pPr>
        <w:pStyle w:val="Heading2"/>
        <w:spacing w:line="265" w:lineRule="exact"/>
        <w:ind w:left="292"/>
      </w:pPr>
      <w:r>
        <w:rPr>
          <w:color w:val="EB7B2F"/>
        </w:rPr>
        <w:t xml:space="preserve">FAMILY CHILD CARE vs. </w:t>
      </w:r>
      <w:r w:rsidR="006D262A">
        <w:rPr>
          <w:color w:val="EB7B2F"/>
        </w:rPr>
        <w:t>SPECIAL FAMILY CHILD CARE</w:t>
      </w:r>
    </w:p>
    <w:p w14:paraId="0F3C39AB" w14:textId="792AAF98" w:rsidR="006D262A" w:rsidRPr="00283C95" w:rsidRDefault="006D262A" w:rsidP="00600EBE">
      <w:pPr>
        <w:pStyle w:val="BodyText"/>
        <w:ind w:left="291" w:right="196" w:firstLine="1"/>
      </w:pPr>
      <w:r w:rsidRPr="00283C95">
        <w:t xml:space="preserve">The diﬀerence of where the program is located </w:t>
      </w:r>
      <w:r w:rsidR="00600EBE">
        <w:t xml:space="preserve">and/or who holds the license </w:t>
      </w:r>
      <w:r w:rsidRPr="00283C95">
        <w:t>deﬁnes the type of family child care license.</w:t>
      </w:r>
      <w:r w:rsidR="00253F82">
        <w:t xml:space="preserve"> Each license type is governed by the same MN Rules and Statutes.</w:t>
      </w:r>
    </w:p>
    <w:p w14:paraId="147D17E3" w14:textId="77777777" w:rsidR="006D262A" w:rsidRPr="00283C95" w:rsidRDefault="006D262A" w:rsidP="006D262A">
      <w:pPr>
        <w:pStyle w:val="ListParagraph"/>
        <w:numPr>
          <w:ilvl w:val="0"/>
          <w:numId w:val="1"/>
        </w:numPr>
        <w:tabs>
          <w:tab w:val="left" w:pos="1012"/>
        </w:tabs>
        <w:ind w:left="1012" w:hanging="360"/>
      </w:pPr>
      <w:r w:rsidRPr="00253F82">
        <w:rPr>
          <w:b/>
          <w:bCs/>
        </w:rPr>
        <w:t>Family Child Care (FCC)</w:t>
      </w:r>
      <w:r w:rsidRPr="00283C95">
        <w:t xml:space="preserve"> – when the program </w:t>
      </w:r>
      <w:proofErr w:type="gramStart"/>
      <w:r w:rsidRPr="00283C95">
        <w:t>is located in</w:t>
      </w:r>
      <w:proofErr w:type="gramEnd"/>
      <w:r w:rsidRPr="00283C95">
        <w:t xml:space="preserve"> the license holder’s primary residence</w:t>
      </w:r>
    </w:p>
    <w:p w14:paraId="1E0A0CE0" w14:textId="6E8CF6E2" w:rsidR="006D262A" w:rsidRPr="00283C95" w:rsidRDefault="006D262A" w:rsidP="00326AF8">
      <w:pPr>
        <w:pStyle w:val="ListParagraph"/>
        <w:numPr>
          <w:ilvl w:val="0"/>
          <w:numId w:val="1"/>
        </w:numPr>
        <w:tabs>
          <w:tab w:val="left" w:pos="1014"/>
        </w:tabs>
        <w:spacing w:before="8"/>
      </w:pPr>
      <w:r w:rsidRPr="00253F82">
        <w:rPr>
          <w:b/>
          <w:bCs/>
        </w:rPr>
        <w:t>Special Family Child Care (SFCC)</w:t>
      </w:r>
      <w:r w:rsidRPr="00283C95">
        <w:t xml:space="preserve"> – </w:t>
      </w:r>
      <w:r w:rsidR="00F616C0">
        <w:t xml:space="preserve">when the </w:t>
      </w:r>
      <w:r w:rsidRPr="00283C95">
        <w:t>program is located somewhere other than the license holder’s primary residence</w:t>
      </w:r>
      <w:r w:rsidR="00F616C0">
        <w:t xml:space="preserve"> OR when the license holder is not an individual</w:t>
      </w:r>
    </w:p>
    <w:p w14:paraId="5F5CCACF" w14:textId="77777777" w:rsidR="00D61DCE" w:rsidRPr="00FE7D22" w:rsidRDefault="00D61DCE">
      <w:pPr>
        <w:pStyle w:val="BodyText"/>
        <w:spacing w:before="7"/>
        <w:ind w:left="0" w:firstLine="0"/>
      </w:pPr>
    </w:p>
    <w:p w14:paraId="5F5CCAD0" w14:textId="77777777" w:rsidR="00D61DCE" w:rsidRPr="00FE7D22" w:rsidRDefault="00797B46">
      <w:pPr>
        <w:pStyle w:val="Heading2"/>
        <w:spacing w:line="265" w:lineRule="exact"/>
        <w:ind w:left="292"/>
      </w:pPr>
      <w:bookmarkStart w:id="3" w:name="HOW_TO_BECOME_LICENSED"/>
      <w:bookmarkEnd w:id="3"/>
      <w:r w:rsidRPr="00FE7D22">
        <w:rPr>
          <w:color w:val="EB7B2F"/>
        </w:rPr>
        <w:t>HOW TO BECOME LICENSED</w:t>
      </w:r>
    </w:p>
    <w:p w14:paraId="5F5CCAD1" w14:textId="55DFAD35" w:rsidR="00D61DCE" w:rsidRPr="00FE7D22" w:rsidRDefault="00797B46">
      <w:pPr>
        <w:pStyle w:val="BodyText"/>
        <w:ind w:left="293" w:right="196" w:hanging="1"/>
      </w:pPr>
      <w:r w:rsidRPr="00FE7D22">
        <w:t xml:space="preserve">There are several steps that need to be completed </w:t>
      </w:r>
      <w:proofErr w:type="gramStart"/>
      <w:r w:rsidRPr="00FE7D22">
        <w:t>in order to</w:t>
      </w:r>
      <w:proofErr w:type="gramEnd"/>
      <w:r w:rsidRPr="00FE7D22">
        <w:t xml:space="preserve"> receive a family child care license. In counties that we partner with, our Sourcewell licensing team will help the applicant through each step. Our website has instructions on how to initiate this process. The average time to get a license is 2 – 6 months but varies with each application.</w:t>
      </w:r>
    </w:p>
    <w:p w14:paraId="5F5CCAD2" w14:textId="77777777" w:rsidR="00D61DCE" w:rsidRPr="00FE7D22" w:rsidRDefault="00797B46">
      <w:pPr>
        <w:pStyle w:val="BodyText"/>
        <w:spacing w:before="264"/>
        <w:ind w:left="294" w:firstLine="0"/>
      </w:pPr>
      <w:r w:rsidRPr="00FE7D22">
        <w:t>Steps include, but are not limited to:</w:t>
      </w:r>
    </w:p>
    <w:p w14:paraId="5F5CCAD3" w14:textId="77777777" w:rsidR="00D61DCE" w:rsidRPr="00FE7D22" w:rsidRDefault="00797B46">
      <w:pPr>
        <w:pStyle w:val="ListParagraph"/>
        <w:numPr>
          <w:ilvl w:val="0"/>
          <w:numId w:val="1"/>
        </w:numPr>
        <w:tabs>
          <w:tab w:val="left" w:pos="1015"/>
        </w:tabs>
        <w:ind w:left="1015" w:hanging="360"/>
      </w:pPr>
      <w:r w:rsidRPr="00FE7D22">
        <w:t>Application and documentation submission</w:t>
      </w:r>
    </w:p>
    <w:p w14:paraId="5F5CCAD4" w14:textId="77777777" w:rsidR="00D61DCE" w:rsidRPr="00FE7D22" w:rsidRDefault="00797B46">
      <w:pPr>
        <w:pStyle w:val="ListParagraph"/>
        <w:numPr>
          <w:ilvl w:val="0"/>
          <w:numId w:val="1"/>
        </w:numPr>
        <w:tabs>
          <w:tab w:val="left" w:pos="1014"/>
        </w:tabs>
        <w:ind w:hanging="360"/>
      </w:pPr>
      <w:r w:rsidRPr="00FE7D22">
        <w:t>Background studies</w:t>
      </w:r>
    </w:p>
    <w:p w14:paraId="5F5CCAD5" w14:textId="77777777" w:rsidR="00D61DCE" w:rsidRPr="00FE7D22" w:rsidRDefault="00797B46">
      <w:pPr>
        <w:pStyle w:val="ListParagraph"/>
        <w:numPr>
          <w:ilvl w:val="0"/>
          <w:numId w:val="1"/>
        </w:numPr>
        <w:tabs>
          <w:tab w:val="left" w:pos="1015"/>
        </w:tabs>
        <w:ind w:left="1015"/>
      </w:pPr>
      <w:r w:rsidRPr="00FE7D22">
        <w:t xml:space="preserve">Pre-license </w:t>
      </w:r>
      <w:proofErr w:type="gramStart"/>
      <w:r w:rsidRPr="00FE7D22">
        <w:t>trainings</w:t>
      </w:r>
      <w:proofErr w:type="gramEnd"/>
    </w:p>
    <w:p w14:paraId="5F5CCAD6" w14:textId="77777777" w:rsidR="00D61DCE" w:rsidRPr="00FE7D22" w:rsidRDefault="00797B46">
      <w:pPr>
        <w:pStyle w:val="ListParagraph"/>
        <w:numPr>
          <w:ilvl w:val="0"/>
          <w:numId w:val="1"/>
        </w:numPr>
        <w:tabs>
          <w:tab w:val="left" w:pos="1015"/>
        </w:tabs>
        <w:spacing w:before="8"/>
        <w:ind w:left="1015"/>
      </w:pPr>
      <w:r w:rsidRPr="00FE7D22">
        <w:t>Fire Marshal inspection</w:t>
      </w:r>
    </w:p>
    <w:p w14:paraId="5F5CCAD7" w14:textId="77777777" w:rsidR="00D61DCE" w:rsidRPr="00FE7D22" w:rsidRDefault="00797B46">
      <w:pPr>
        <w:pStyle w:val="ListParagraph"/>
        <w:numPr>
          <w:ilvl w:val="0"/>
          <w:numId w:val="1"/>
        </w:numPr>
        <w:tabs>
          <w:tab w:val="left" w:pos="1015"/>
        </w:tabs>
        <w:ind w:left="1015" w:hanging="360"/>
      </w:pPr>
      <w:r w:rsidRPr="00FE7D22">
        <w:t>Nonresidential locations – potential architectural plans required</w:t>
      </w:r>
    </w:p>
    <w:p w14:paraId="5F5CCAD8" w14:textId="77777777" w:rsidR="00D61DCE" w:rsidRPr="00FE7D22" w:rsidRDefault="00797B46">
      <w:pPr>
        <w:pStyle w:val="Heading2"/>
        <w:spacing w:before="261"/>
      </w:pPr>
      <w:bookmarkStart w:id="4" w:name="THINGS_TO_CONSIDER_WHEN_CHOOSING_A_LOCAT"/>
      <w:bookmarkEnd w:id="4"/>
      <w:r w:rsidRPr="00FE7D22">
        <w:rPr>
          <w:color w:val="EB7B2F"/>
        </w:rPr>
        <w:t>THINGS TO CONSIDER WHEN CHOOSING A LOCATION</w:t>
      </w:r>
    </w:p>
    <w:p w14:paraId="5F5CCAD9" w14:textId="77777777" w:rsidR="00D61DCE" w:rsidRPr="00FE7D22" w:rsidRDefault="00797B46">
      <w:pPr>
        <w:pStyle w:val="BodyText"/>
        <w:ind w:left="288" w:firstLine="0"/>
      </w:pPr>
      <w:r w:rsidRPr="00FE7D22">
        <w:t>There are certain things that are important to consider when choosing a location. These include both required</w:t>
      </w:r>
    </w:p>
    <w:p w14:paraId="5F5CCADB" w14:textId="7B43608D" w:rsidR="00D61DCE" w:rsidRPr="00FE7D22" w:rsidRDefault="00797B46" w:rsidP="16599663">
      <w:pPr>
        <w:pStyle w:val="BodyText"/>
        <w:ind w:left="288" w:firstLine="0"/>
      </w:pPr>
      <w:r>
        <w:t>elements and variables that aﬀect day to day operations and safety of children.</w:t>
      </w:r>
    </w:p>
    <w:p w14:paraId="5F5CCADC" w14:textId="77777777" w:rsidR="00D61DCE" w:rsidRPr="00FE7D22" w:rsidRDefault="00797B46">
      <w:pPr>
        <w:pStyle w:val="ListParagraph"/>
        <w:numPr>
          <w:ilvl w:val="0"/>
          <w:numId w:val="1"/>
        </w:numPr>
        <w:tabs>
          <w:tab w:val="left" w:pos="1008"/>
        </w:tabs>
        <w:ind w:left="1008" w:hanging="360"/>
      </w:pPr>
      <w:r w:rsidRPr="00FE7D22">
        <w:t xml:space="preserve">35 sq feet per child of usable indoor space is required; </w:t>
      </w:r>
      <w:proofErr w:type="gramStart"/>
      <w:r w:rsidRPr="00FE7D22">
        <w:t>does</w:t>
      </w:r>
      <w:proofErr w:type="gramEnd"/>
      <w:r w:rsidRPr="00FE7D22">
        <w:t xml:space="preserve"> not include closets, utility areas, or bathrooms</w:t>
      </w:r>
    </w:p>
    <w:p w14:paraId="5F5CCADD" w14:textId="77777777" w:rsidR="00D61DCE" w:rsidRPr="00FE7D22" w:rsidRDefault="00797B46">
      <w:pPr>
        <w:pStyle w:val="ListParagraph"/>
        <w:numPr>
          <w:ilvl w:val="0"/>
          <w:numId w:val="1"/>
        </w:numPr>
        <w:tabs>
          <w:tab w:val="left" w:pos="1006"/>
        </w:tabs>
        <w:spacing w:before="1"/>
        <w:ind w:left="1006" w:right="366" w:hanging="359"/>
      </w:pPr>
      <w:r w:rsidRPr="00FE7D22">
        <w:t>50 sq feet per child of outdoor play space located within 1500 feet of the program is required; this could be public parks or playgrounds</w:t>
      </w:r>
    </w:p>
    <w:p w14:paraId="5F5CCADE" w14:textId="77777777" w:rsidR="00D61DCE" w:rsidRPr="00FE7D22" w:rsidRDefault="00797B46">
      <w:pPr>
        <w:pStyle w:val="ListParagraph"/>
        <w:numPr>
          <w:ilvl w:val="0"/>
          <w:numId w:val="1"/>
        </w:numPr>
        <w:tabs>
          <w:tab w:val="left" w:pos="1006"/>
        </w:tabs>
        <w:spacing w:before="7" w:line="265" w:lineRule="exact"/>
        <w:ind w:left="1006" w:hanging="360"/>
      </w:pPr>
      <w:r w:rsidRPr="00FE7D22">
        <w:t>A fence may be required for non-public outdoor spaces if traﬃc, water, railway, or machinery hazards exist</w:t>
      </w:r>
    </w:p>
    <w:p w14:paraId="5F5CCADF" w14:textId="520404DC" w:rsidR="00D61DCE" w:rsidRPr="00FE7D22" w:rsidRDefault="00797B46" w:rsidP="00B74CEA">
      <w:pPr>
        <w:pStyle w:val="ListParagraph"/>
        <w:numPr>
          <w:ilvl w:val="0"/>
          <w:numId w:val="1"/>
        </w:numPr>
        <w:tabs>
          <w:tab w:val="left" w:pos="1006"/>
        </w:tabs>
        <w:ind w:left="1006" w:hanging="360"/>
      </w:pPr>
      <w:r w:rsidRPr="00FE7D22">
        <w:t>Self-contained spaces are optimal – meaning children play, eat, sleep, and bathroom in the</w:t>
      </w:r>
      <w:r w:rsidR="00B74CEA">
        <w:t xml:space="preserve"> </w:t>
      </w:r>
      <w:r w:rsidRPr="00FE7D22">
        <w:t>same designated space</w:t>
      </w:r>
    </w:p>
    <w:p w14:paraId="5F5CCAE0" w14:textId="77777777" w:rsidR="00D61DCE" w:rsidRPr="00FE7D22" w:rsidRDefault="00797B46" w:rsidP="00B74CEA">
      <w:pPr>
        <w:pStyle w:val="ListParagraph"/>
        <w:numPr>
          <w:ilvl w:val="0"/>
          <w:numId w:val="1"/>
        </w:numPr>
        <w:tabs>
          <w:tab w:val="left" w:pos="1007"/>
        </w:tabs>
        <w:ind w:left="1007"/>
      </w:pPr>
      <w:r w:rsidRPr="00FE7D22">
        <w:t xml:space="preserve">Layout of the space that allows for quality supervision; rules require caregivers to be within sight or sound and able to </w:t>
      </w:r>
      <w:proofErr w:type="gramStart"/>
      <w:r w:rsidRPr="00FE7D22">
        <w:t>intervene at all times</w:t>
      </w:r>
      <w:proofErr w:type="gramEnd"/>
    </w:p>
    <w:p w14:paraId="5F5CCAE1" w14:textId="77777777" w:rsidR="00D61DCE" w:rsidRPr="00FE7D22" w:rsidRDefault="00797B46">
      <w:pPr>
        <w:pStyle w:val="ListParagraph"/>
        <w:numPr>
          <w:ilvl w:val="0"/>
          <w:numId w:val="1"/>
        </w:numPr>
        <w:tabs>
          <w:tab w:val="left" w:pos="1008"/>
        </w:tabs>
        <w:ind w:left="1008" w:hanging="360"/>
      </w:pPr>
      <w:r w:rsidRPr="00FE7D22">
        <w:t>Location of restrooms that allow for supervision during child use</w:t>
      </w:r>
    </w:p>
    <w:p w14:paraId="5F5CCAE2" w14:textId="77777777" w:rsidR="00D61DCE" w:rsidRPr="00FE7D22" w:rsidRDefault="00797B46">
      <w:pPr>
        <w:pStyle w:val="ListParagraph"/>
        <w:numPr>
          <w:ilvl w:val="0"/>
          <w:numId w:val="1"/>
        </w:numPr>
        <w:tabs>
          <w:tab w:val="left" w:pos="1008"/>
        </w:tabs>
        <w:ind w:left="1008" w:hanging="360"/>
      </w:pPr>
      <w:r w:rsidRPr="00FE7D22">
        <w:t>Location of sinks for handwashing and food preparation</w:t>
      </w:r>
    </w:p>
    <w:p w14:paraId="5F5CCAE3" w14:textId="77777777" w:rsidR="00D61DCE" w:rsidRPr="00FE7D22" w:rsidRDefault="00797B46">
      <w:pPr>
        <w:pStyle w:val="ListParagraph"/>
        <w:numPr>
          <w:ilvl w:val="0"/>
          <w:numId w:val="1"/>
        </w:numPr>
        <w:tabs>
          <w:tab w:val="left" w:pos="1008"/>
        </w:tabs>
        <w:ind w:left="1008" w:hanging="360"/>
      </w:pPr>
      <w:r w:rsidRPr="00FE7D22">
        <w:t>Commercial or full kitchens are not required; a kitchenette is adequate</w:t>
      </w:r>
    </w:p>
    <w:p w14:paraId="5F5CCAE4" w14:textId="77777777" w:rsidR="00D61DCE" w:rsidRPr="00FE7D22" w:rsidRDefault="00797B46">
      <w:pPr>
        <w:pStyle w:val="ListParagraph"/>
        <w:numPr>
          <w:ilvl w:val="0"/>
          <w:numId w:val="1"/>
        </w:numPr>
        <w:tabs>
          <w:tab w:val="left" w:pos="1010"/>
        </w:tabs>
        <w:ind w:left="1010" w:hanging="360"/>
      </w:pPr>
      <w:r w:rsidRPr="00FE7D22">
        <w:t>If the location houses multiple child care programs, each program must be distinct and separate</w:t>
      </w:r>
    </w:p>
    <w:p w14:paraId="5F5CCAE5" w14:textId="77777777" w:rsidR="00D61DCE" w:rsidRPr="00FE7D22" w:rsidRDefault="00797B46">
      <w:pPr>
        <w:pStyle w:val="ListParagraph"/>
        <w:numPr>
          <w:ilvl w:val="0"/>
          <w:numId w:val="1"/>
        </w:numPr>
        <w:tabs>
          <w:tab w:val="left" w:pos="1010"/>
        </w:tabs>
        <w:ind w:left="1010" w:hanging="360"/>
      </w:pPr>
      <w:r w:rsidRPr="00FE7D22">
        <w:t>Safety considerations if the location is used for other/public purposes (eg: church, public building, etc.)</w:t>
      </w:r>
    </w:p>
    <w:p w14:paraId="5F5CCAE6" w14:textId="77777777" w:rsidR="00D61DCE" w:rsidRPr="00FE7D22" w:rsidRDefault="00797B46">
      <w:pPr>
        <w:pStyle w:val="Heading2"/>
        <w:spacing w:before="266"/>
      </w:pPr>
      <w:bookmarkStart w:id="5" w:name="RESOURCES"/>
      <w:bookmarkEnd w:id="5"/>
      <w:r w:rsidRPr="00FE7D22">
        <w:rPr>
          <w:color w:val="EB7B2F"/>
        </w:rPr>
        <w:t>RESOURCES</w:t>
      </w:r>
    </w:p>
    <w:p w14:paraId="5F5CCAE7" w14:textId="77777777" w:rsidR="00D61DCE" w:rsidRPr="00FE7D22" w:rsidRDefault="00797B46">
      <w:pPr>
        <w:pStyle w:val="ListParagraph"/>
        <w:numPr>
          <w:ilvl w:val="0"/>
          <w:numId w:val="1"/>
        </w:numPr>
        <w:tabs>
          <w:tab w:val="left" w:pos="1007"/>
        </w:tabs>
        <w:ind w:left="1007" w:hanging="360"/>
      </w:pPr>
      <w:r w:rsidRPr="00FE7D22">
        <w:t xml:space="preserve">Sourcewell Family Child Care – </w:t>
      </w:r>
      <w:hyperlink r:id="rId12">
        <w:r w:rsidR="00D61DCE" w:rsidRPr="00FE7D22">
          <w:rPr>
            <w:color w:val="0561C1"/>
            <w:u w:val="single" w:color="0561C1"/>
          </w:rPr>
          <w:t>htps://mn.sourcewell.org/licensing/family-child-care</w:t>
        </w:r>
      </w:hyperlink>
    </w:p>
    <w:p w14:paraId="5F5CCAE8" w14:textId="77777777" w:rsidR="00D61DCE" w:rsidRPr="00FE7D22" w:rsidRDefault="00797B46">
      <w:pPr>
        <w:pStyle w:val="ListParagraph"/>
        <w:numPr>
          <w:ilvl w:val="0"/>
          <w:numId w:val="1"/>
        </w:numPr>
        <w:tabs>
          <w:tab w:val="left" w:pos="1008"/>
        </w:tabs>
        <w:ind w:left="1008" w:hanging="360"/>
      </w:pPr>
      <w:r w:rsidRPr="00FE7D22">
        <w:t xml:space="preserve">Child Care Wayﬁnder – </w:t>
      </w:r>
      <w:hyperlink r:id="rId13">
        <w:r w:rsidR="00D61DCE" w:rsidRPr="00FE7D22">
          <w:rPr>
            <w:color w:val="0561C1"/>
            <w:u w:val="single" w:color="0561C1"/>
          </w:rPr>
          <w:t>htps://www.childcarewayﬁnder.org/</w:t>
        </w:r>
      </w:hyperlink>
    </w:p>
    <w:p w14:paraId="5F5CCAE9" w14:textId="77777777" w:rsidR="00D61DCE" w:rsidRPr="00FE7D22" w:rsidRDefault="00797B46">
      <w:pPr>
        <w:pStyle w:val="ListParagraph"/>
        <w:numPr>
          <w:ilvl w:val="0"/>
          <w:numId w:val="1"/>
        </w:numPr>
        <w:tabs>
          <w:tab w:val="left" w:pos="1008"/>
        </w:tabs>
        <w:spacing w:before="1"/>
        <w:ind w:left="1008" w:hanging="360"/>
      </w:pPr>
      <w:r w:rsidRPr="00FE7D22">
        <w:t xml:space="preserve">First Children’s Finance – </w:t>
      </w:r>
      <w:hyperlink r:id="rId14">
        <w:r w:rsidR="00D61DCE" w:rsidRPr="00FE7D22">
          <w:rPr>
            <w:color w:val="0561C1"/>
            <w:u w:val="single" w:color="0561C1"/>
          </w:rPr>
          <w:t>htps://www.ﬁrstchildrensﬁnance.org/minnesota/</w:t>
        </w:r>
      </w:hyperlink>
    </w:p>
    <w:p w14:paraId="5F5CCAEA" w14:textId="77777777" w:rsidR="00D61DCE" w:rsidRPr="00FE7D22" w:rsidRDefault="00797B46">
      <w:pPr>
        <w:pStyle w:val="ListParagraph"/>
        <w:numPr>
          <w:ilvl w:val="0"/>
          <w:numId w:val="1"/>
        </w:numPr>
        <w:tabs>
          <w:tab w:val="left" w:pos="1008"/>
        </w:tabs>
        <w:ind w:left="1008" w:hanging="360"/>
      </w:pPr>
      <w:r w:rsidRPr="00FE7D22">
        <w:t xml:space="preserve">Department of Children, Youth, and Families – </w:t>
      </w:r>
      <w:hyperlink r:id="rId15">
        <w:r w:rsidR="00D61DCE" w:rsidRPr="00FE7D22">
          <w:rPr>
            <w:color w:val="0561C1"/>
            <w:u w:val="single" w:color="0561C1"/>
          </w:rPr>
          <w:t>https://dcyf.mn.gov/</w:t>
        </w:r>
      </w:hyperlink>
    </w:p>
    <w:sectPr w:rsidR="00D61DCE" w:rsidRPr="00FE7D22">
      <w:footerReference w:type="default" r:id="rId16"/>
      <w:pgSz w:w="12240" w:h="15840"/>
      <w:pgMar w:top="1120" w:right="720" w:bottom="880" w:left="720" w:header="0"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7EA61" w14:textId="77777777" w:rsidR="006C57E8" w:rsidRDefault="006C57E8">
      <w:r>
        <w:separator/>
      </w:r>
    </w:p>
  </w:endnote>
  <w:endnote w:type="continuationSeparator" w:id="0">
    <w:p w14:paraId="57178C48" w14:textId="77777777" w:rsidR="006C57E8" w:rsidRDefault="006C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CAEB" w14:textId="77777777" w:rsidR="00D61DCE" w:rsidRDefault="00797B46">
    <w:pPr>
      <w:pStyle w:val="BodyText"/>
      <w:spacing w:line="14" w:lineRule="auto"/>
      <w:ind w:left="0" w:firstLine="0"/>
      <w:rPr>
        <w:sz w:val="20"/>
      </w:rPr>
    </w:pPr>
    <w:r>
      <w:rPr>
        <w:noProof/>
        <w:sz w:val="20"/>
      </w:rPr>
      <mc:AlternateContent>
        <mc:Choice Requires="wps">
          <w:drawing>
            <wp:anchor distT="0" distB="0" distL="0" distR="0" simplePos="0" relativeHeight="251658240" behindDoc="1" locked="0" layoutInCell="1" allowOverlap="1" wp14:anchorId="5F5CCAEC" wp14:editId="2A87AD29">
              <wp:simplePos x="0" y="0"/>
              <wp:positionH relativeFrom="page">
                <wp:posOffset>628904</wp:posOffset>
              </wp:positionH>
              <wp:positionV relativeFrom="page">
                <wp:posOffset>9475343</wp:posOffset>
              </wp:positionV>
              <wp:extent cx="1001394"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1394" cy="139700"/>
                      </a:xfrm>
                      <a:prstGeom prst="rect">
                        <a:avLst/>
                      </a:prstGeom>
                    </wps:spPr>
                    <wps:txbx>
                      <w:txbxContent>
                        <w:p w14:paraId="5F5CCAEE" w14:textId="274174EF" w:rsidR="00D61DCE" w:rsidRDefault="00797B46">
                          <w:pPr>
                            <w:spacing w:line="203" w:lineRule="exact"/>
                            <w:ind w:left="20"/>
                            <w:rPr>
                              <w:rFonts w:ascii="Calibri"/>
                              <w:sz w:val="18"/>
                            </w:rPr>
                          </w:pPr>
                          <w:r>
                            <w:rPr>
                              <w:rFonts w:ascii="Calibri"/>
                              <w:color w:val="7D7D7D"/>
                              <w:spacing w:val="-2"/>
                              <w:sz w:val="18"/>
                            </w:rPr>
                            <w:t>Updated</w:t>
                          </w:r>
                          <w:r>
                            <w:rPr>
                              <w:rFonts w:ascii="Calibri"/>
                              <w:color w:val="7D7D7D"/>
                              <w:spacing w:val="2"/>
                              <w:sz w:val="18"/>
                            </w:rPr>
                            <w:t xml:space="preserve"> </w:t>
                          </w:r>
                          <w:r w:rsidR="004D6A66">
                            <w:rPr>
                              <w:rFonts w:ascii="Calibri"/>
                              <w:color w:val="7D7D7D"/>
                              <w:spacing w:val="2"/>
                              <w:sz w:val="18"/>
                            </w:rPr>
                            <w:t>12/29/2025</w:t>
                          </w:r>
                        </w:p>
                      </w:txbxContent>
                    </wps:txbx>
                    <wps:bodyPr wrap="square" lIns="0" tIns="0" rIns="0" bIns="0" rtlCol="0">
                      <a:noAutofit/>
                    </wps:bodyPr>
                  </wps:wsp>
                </a:graphicData>
              </a:graphic>
            </wp:anchor>
          </w:drawing>
        </mc:Choice>
        <mc:Fallback>
          <w:pict>
            <v:shapetype w14:anchorId="5F5CCAEC" id="_x0000_t202" coordsize="21600,21600" o:spt="202" path="m,l,21600r21600,l21600,xe">
              <v:stroke joinstyle="miter"/>
              <v:path gradientshapeok="t" o:connecttype="rect"/>
            </v:shapetype>
            <v:shape id="Textbox 1" o:spid="_x0000_s1026" type="#_x0000_t202" style="position:absolute;margin-left:49.5pt;margin-top:746.1pt;width:78.85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" filled="f" stroked="f">
              <v:textbox inset="0,0,0,0">
                <w:txbxContent>
                  <w:p w14:paraId="5F5CCAEE" w14:textId="274174EF" w:rsidR="00D61DCE" w:rsidRDefault="00797B46">
                    <w:pPr>
                      <w:spacing w:line="203" w:lineRule="exact"/>
                      <w:ind w:left="20"/>
                      <w:rPr>
                        <w:rFonts w:ascii="Calibri"/>
                        <w:sz w:val="18"/>
                      </w:rPr>
                    </w:pPr>
                    <w:r>
                      <w:rPr>
                        <w:rFonts w:ascii="Calibri"/>
                        <w:color w:val="7D7D7D"/>
                        <w:spacing w:val="-2"/>
                        <w:sz w:val="18"/>
                      </w:rPr>
                      <w:t>Updated</w:t>
                    </w:r>
                    <w:r>
                      <w:rPr>
                        <w:rFonts w:ascii="Calibri"/>
                        <w:color w:val="7D7D7D"/>
                        <w:spacing w:val="2"/>
                        <w:sz w:val="18"/>
                      </w:rPr>
                      <w:t xml:space="preserve"> </w:t>
                    </w:r>
                    <w:r w:rsidR="004D6A66">
                      <w:rPr>
                        <w:rFonts w:ascii="Calibri"/>
                        <w:color w:val="7D7D7D"/>
                        <w:spacing w:val="2"/>
                        <w:sz w:val="18"/>
                      </w:rPr>
                      <w:t>12/29/2025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9EA37" w14:textId="77777777" w:rsidR="006C57E8" w:rsidRDefault="006C57E8">
      <w:r>
        <w:separator/>
      </w:r>
    </w:p>
  </w:footnote>
  <w:footnote w:type="continuationSeparator" w:id="0">
    <w:p w14:paraId="154774B1" w14:textId="77777777" w:rsidR="006C57E8" w:rsidRDefault="006C5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53E7"/>
    <w:multiLevelType w:val="hybridMultilevel"/>
    <w:tmpl w:val="08FAC52C"/>
    <w:lvl w:ilvl="0" w:tplc="C484720A">
      <w:numFmt w:val="bullet"/>
      <w:lvlText w:val=""/>
      <w:lvlJc w:val="left"/>
      <w:pPr>
        <w:ind w:left="1014" w:hanging="361"/>
      </w:pPr>
      <w:rPr>
        <w:rFonts w:ascii="Wingdings" w:eastAsia="Wingdings" w:hAnsi="Wingdings" w:cs="Wingdings" w:hint="default"/>
        <w:b w:val="0"/>
        <w:bCs w:val="0"/>
        <w:i w:val="0"/>
        <w:iCs w:val="0"/>
        <w:spacing w:val="0"/>
        <w:w w:val="100"/>
        <w:sz w:val="22"/>
        <w:szCs w:val="22"/>
        <w:lang w:val="en-US" w:eastAsia="en-US" w:bidi="ar-SA"/>
      </w:rPr>
    </w:lvl>
    <w:lvl w:ilvl="1" w:tplc="425AF452">
      <w:numFmt w:val="bullet"/>
      <w:lvlText w:val="•"/>
      <w:lvlJc w:val="left"/>
      <w:pPr>
        <w:ind w:left="1998" w:hanging="361"/>
      </w:pPr>
      <w:rPr>
        <w:rFonts w:hint="default"/>
        <w:lang w:val="en-US" w:eastAsia="en-US" w:bidi="ar-SA"/>
      </w:rPr>
    </w:lvl>
    <w:lvl w:ilvl="2" w:tplc="A9A6BDE4">
      <w:numFmt w:val="bullet"/>
      <w:lvlText w:val="•"/>
      <w:lvlJc w:val="left"/>
      <w:pPr>
        <w:ind w:left="2976" w:hanging="361"/>
      </w:pPr>
      <w:rPr>
        <w:rFonts w:hint="default"/>
        <w:lang w:val="en-US" w:eastAsia="en-US" w:bidi="ar-SA"/>
      </w:rPr>
    </w:lvl>
    <w:lvl w:ilvl="3" w:tplc="8E5E2852">
      <w:numFmt w:val="bullet"/>
      <w:lvlText w:val="•"/>
      <w:lvlJc w:val="left"/>
      <w:pPr>
        <w:ind w:left="3954" w:hanging="361"/>
      </w:pPr>
      <w:rPr>
        <w:rFonts w:hint="default"/>
        <w:lang w:val="en-US" w:eastAsia="en-US" w:bidi="ar-SA"/>
      </w:rPr>
    </w:lvl>
    <w:lvl w:ilvl="4" w:tplc="5B6EE9D6">
      <w:numFmt w:val="bullet"/>
      <w:lvlText w:val="•"/>
      <w:lvlJc w:val="left"/>
      <w:pPr>
        <w:ind w:left="4932" w:hanging="361"/>
      </w:pPr>
      <w:rPr>
        <w:rFonts w:hint="default"/>
        <w:lang w:val="en-US" w:eastAsia="en-US" w:bidi="ar-SA"/>
      </w:rPr>
    </w:lvl>
    <w:lvl w:ilvl="5" w:tplc="601EE58E">
      <w:numFmt w:val="bullet"/>
      <w:lvlText w:val="•"/>
      <w:lvlJc w:val="left"/>
      <w:pPr>
        <w:ind w:left="5910" w:hanging="361"/>
      </w:pPr>
      <w:rPr>
        <w:rFonts w:hint="default"/>
        <w:lang w:val="en-US" w:eastAsia="en-US" w:bidi="ar-SA"/>
      </w:rPr>
    </w:lvl>
    <w:lvl w:ilvl="6" w:tplc="176E5B3A">
      <w:numFmt w:val="bullet"/>
      <w:lvlText w:val="•"/>
      <w:lvlJc w:val="left"/>
      <w:pPr>
        <w:ind w:left="6888" w:hanging="361"/>
      </w:pPr>
      <w:rPr>
        <w:rFonts w:hint="default"/>
        <w:lang w:val="en-US" w:eastAsia="en-US" w:bidi="ar-SA"/>
      </w:rPr>
    </w:lvl>
    <w:lvl w:ilvl="7" w:tplc="213202BA">
      <w:numFmt w:val="bullet"/>
      <w:lvlText w:val="•"/>
      <w:lvlJc w:val="left"/>
      <w:pPr>
        <w:ind w:left="7866" w:hanging="361"/>
      </w:pPr>
      <w:rPr>
        <w:rFonts w:hint="default"/>
        <w:lang w:val="en-US" w:eastAsia="en-US" w:bidi="ar-SA"/>
      </w:rPr>
    </w:lvl>
    <w:lvl w:ilvl="8" w:tplc="EA72D82A">
      <w:numFmt w:val="bullet"/>
      <w:lvlText w:val="•"/>
      <w:lvlJc w:val="left"/>
      <w:pPr>
        <w:ind w:left="8844" w:hanging="361"/>
      </w:pPr>
      <w:rPr>
        <w:rFonts w:hint="default"/>
        <w:lang w:val="en-US" w:eastAsia="en-US" w:bidi="ar-SA"/>
      </w:rPr>
    </w:lvl>
  </w:abstractNum>
  <w:num w:numId="1" w16cid:durableId="1905607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CE"/>
    <w:rsid w:val="00037FEB"/>
    <w:rsid w:val="000923C2"/>
    <w:rsid w:val="001131DB"/>
    <w:rsid w:val="00136755"/>
    <w:rsid w:val="00253F82"/>
    <w:rsid w:val="00283C95"/>
    <w:rsid w:val="002C7771"/>
    <w:rsid w:val="002D1434"/>
    <w:rsid w:val="002D2B8E"/>
    <w:rsid w:val="002E3BDF"/>
    <w:rsid w:val="00326AF8"/>
    <w:rsid w:val="003750F4"/>
    <w:rsid w:val="003A0028"/>
    <w:rsid w:val="004A7E78"/>
    <w:rsid w:val="004B14CB"/>
    <w:rsid w:val="004D6A66"/>
    <w:rsid w:val="00563C2E"/>
    <w:rsid w:val="00600EBE"/>
    <w:rsid w:val="0068373F"/>
    <w:rsid w:val="006C57E8"/>
    <w:rsid w:val="006D262A"/>
    <w:rsid w:val="00797B46"/>
    <w:rsid w:val="008070D0"/>
    <w:rsid w:val="0082569F"/>
    <w:rsid w:val="008B32E8"/>
    <w:rsid w:val="008D0F47"/>
    <w:rsid w:val="00A26BC6"/>
    <w:rsid w:val="00A95E86"/>
    <w:rsid w:val="00B66466"/>
    <w:rsid w:val="00B74CEA"/>
    <w:rsid w:val="00BA10BC"/>
    <w:rsid w:val="00BF5216"/>
    <w:rsid w:val="00C228D6"/>
    <w:rsid w:val="00C9395F"/>
    <w:rsid w:val="00CF6F18"/>
    <w:rsid w:val="00D52EED"/>
    <w:rsid w:val="00D61DCE"/>
    <w:rsid w:val="00DC2186"/>
    <w:rsid w:val="00E41F6D"/>
    <w:rsid w:val="00EE773F"/>
    <w:rsid w:val="00F616C0"/>
    <w:rsid w:val="00FE7D22"/>
    <w:rsid w:val="0DD5432A"/>
    <w:rsid w:val="13C2DC7B"/>
    <w:rsid w:val="16599663"/>
    <w:rsid w:val="18547137"/>
    <w:rsid w:val="2224AB84"/>
    <w:rsid w:val="33E420FE"/>
    <w:rsid w:val="49154196"/>
    <w:rsid w:val="4927AE29"/>
    <w:rsid w:val="5DA9A05D"/>
    <w:rsid w:val="70CD9D4E"/>
    <w:rsid w:val="715B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CAAD"/>
  <w15:docId w15:val="{B416362E-8DB6-4206-A805-8822D753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before="2" w:line="482" w:lineRule="exact"/>
      <w:ind w:left="287"/>
      <w:outlineLvl w:val="0"/>
    </w:pPr>
    <w:rPr>
      <w:rFonts w:ascii="Calibri" w:eastAsia="Calibri" w:hAnsi="Calibri" w:cs="Calibri"/>
      <w:b/>
      <w:bCs/>
      <w:sz w:val="40"/>
      <w:szCs w:val="40"/>
    </w:rPr>
  </w:style>
  <w:style w:type="paragraph" w:styleId="Heading2">
    <w:name w:val="heading 2"/>
    <w:basedOn w:val="Normal"/>
    <w:uiPriority w:val="9"/>
    <w:unhideWhenUsed/>
    <w:qFormat/>
    <w:pPr>
      <w:ind w:left="287"/>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8" w:hanging="360"/>
    </w:pPr>
  </w:style>
  <w:style w:type="paragraph" w:styleId="ListParagraph">
    <w:name w:val="List Paragraph"/>
    <w:basedOn w:val="Normal"/>
    <w:uiPriority w:val="1"/>
    <w:qFormat/>
    <w:pPr>
      <w:ind w:left="100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D6A66"/>
    <w:pPr>
      <w:tabs>
        <w:tab w:val="center" w:pos="4680"/>
        <w:tab w:val="right" w:pos="9360"/>
      </w:tabs>
    </w:pPr>
  </w:style>
  <w:style w:type="character" w:customStyle="1" w:styleId="HeaderChar">
    <w:name w:val="Header Char"/>
    <w:basedOn w:val="DefaultParagraphFont"/>
    <w:link w:val="Header"/>
    <w:uiPriority w:val="99"/>
    <w:rsid w:val="004D6A66"/>
    <w:rPr>
      <w:rFonts w:ascii="Calibri Light" w:eastAsia="Calibri Light" w:hAnsi="Calibri Light" w:cs="Calibri Light"/>
    </w:rPr>
  </w:style>
  <w:style w:type="paragraph" w:styleId="Footer">
    <w:name w:val="footer"/>
    <w:basedOn w:val="Normal"/>
    <w:link w:val="FooterChar"/>
    <w:uiPriority w:val="99"/>
    <w:unhideWhenUsed/>
    <w:rsid w:val="004D6A66"/>
    <w:pPr>
      <w:tabs>
        <w:tab w:val="center" w:pos="4680"/>
        <w:tab w:val="right" w:pos="9360"/>
      </w:tabs>
    </w:pPr>
  </w:style>
  <w:style w:type="character" w:customStyle="1" w:styleId="FooterChar">
    <w:name w:val="Footer Char"/>
    <w:basedOn w:val="DefaultParagraphFont"/>
    <w:link w:val="Footer"/>
    <w:uiPriority w:val="99"/>
    <w:rsid w:val="004D6A66"/>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ildcarewayfinder.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n.sourcewell.org/licensing/family-child-ca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cyf.mn.gov/" TargetMode="External"/><Relationship Id="rId5" Type="http://schemas.openxmlformats.org/officeDocument/2006/relationships/styles" Target="styles.xml"/><Relationship Id="rId15" Type="http://schemas.openxmlformats.org/officeDocument/2006/relationships/hyperlink" Target="https://dcyf.mn.gov/" TargetMode="External"/><Relationship Id="rId10" Type="http://schemas.openxmlformats.org/officeDocument/2006/relationships/hyperlink" Target="https://mn.sourcewell.org/licensing/family-child-ca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irstchildrensfinance.org/minnes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48866EFBF41D498F7CE19998C763D0" ma:contentTypeVersion="22" ma:contentTypeDescription="Create a new document." ma:contentTypeScope="" ma:versionID="29b9d03f7c5923dcd4d483a57a4daae6">
  <xsd:schema xmlns:xsd="http://www.w3.org/2001/XMLSchema" xmlns:xs="http://www.w3.org/2001/XMLSchema" xmlns:p="http://schemas.microsoft.com/office/2006/metadata/properties" xmlns:ns2="100e16be-ba04-451e-99b0-c2b36cf9e575" xmlns:ns3="6d1f4751-7261-47eb-a39f-3c099168a156" xmlns:ns4="5247ea59-7632-48e6-bc00-72f15bb7fb38" targetNamespace="http://schemas.microsoft.com/office/2006/metadata/properties" ma:root="true" ma:fieldsID="6ac8b92e2220beb5c8a64a0030453849" ns2:_="" ns3:_="" ns4:_="">
    <xsd:import namespace="100e16be-ba04-451e-99b0-c2b36cf9e575"/>
    <xsd:import namespace="6d1f4751-7261-47eb-a39f-3c099168a156"/>
    <xsd:import namespace="5247ea59-7632-48e6-bc00-72f15bb7fb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e16be-ba04-451e-99b0-c2b36cf9e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40b0177-dd33-438c-912e-8b68433a1ec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f4751-7261-47eb-a39f-3c099168a1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47ea59-7632-48e6-bc00-72f15bb7fb3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7b34fbb-40f1-4960-bd89-8f9792ce5ac4}" ma:internalName="TaxCatchAll" ma:showField="CatchAllData" ma:web="5247ea59-7632-48e6-bc00-72f15bb7fb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0e16be-ba04-451e-99b0-c2b36cf9e575">
      <Terms xmlns="http://schemas.microsoft.com/office/infopath/2007/PartnerControls"/>
    </lcf76f155ced4ddcb4097134ff3c332f>
    <TaxCatchAll xmlns="5247ea59-7632-48e6-bc00-72f15bb7fb38" xsi:nil="true"/>
  </documentManagement>
</p:properties>
</file>

<file path=customXml/itemProps1.xml><?xml version="1.0" encoding="utf-8"?>
<ds:datastoreItem xmlns:ds="http://schemas.openxmlformats.org/officeDocument/2006/customXml" ds:itemID="{637263B2-8ACE-44D8-A847-DD89E22AC494}"/>
</file>

<file path=customXml/itemProps2.xml><?xml version="1.0" encoding="utf-8"?>
<ds:datastoreItem xmlns:ds="http://schemas.openxmlformats.org/officeDocument/2006/customXml" ds:itemID="{AF3EBD49-4F7D-409E-9291-11DC801826D4}">
  <ds:schemaRefs>
    <ds:schemaRef ds:uri="http://schemas.microsoft.com/sharepoint/v3/contenttype/forms"/>
  </ds:schemaRefs>
</ds:datastoreItem>
</file>

<file path=customXml/itemProps3.xml><?xml version="1.0" encoding="utf-8"?>
<ds:datastoreItem xmlns:ds="http://schemas.openxmlformats.org/officeDocument/2006/customXml" ds:itemID="{4073C65C-835D-4919-9B73-508C917C4EB9}">
  <ds:schemaRefs>
    <ds:schemaRef ds:uri="http://schemas.microsoft.com/office/2006/metadata/properties"/>
    <ds:schemaRef ds:uri="http://schemas.microsoft.com/office/infopath/2007/PartnerControls"/>
    <ds:schemaRef ds:uri="100e16be-ba04-451e-99b0-c2b36cf9e575"/>
    <ds:schemaRef ds:uri="5247ea59-7632-48e6-bc00-72f15bb7fb3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5477</Characters>
  <Application>Microsoft Office Word</Application>
  <DocSecurity>0</DocSecurity>
  <Lines>89</Lines>
  <Paragraphs>55</Paragraphs>
  <ScaleCrop>false</ScaleCrop>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Peterson</dc:creator>
  <dc:description/>
  <cp:lastModifiedBy>Sara Peterson</cp:lastModifiedBy>
  <cp:revision>8</cp:revision>
  <dcterms:created xsi:type="dcterms:W3CDTF">2025-12-29T20:47:00Z</dcterms:created>
  <dcterms:modified xsi:type="dcterms:W3CDTF">2026-02-13T18:26:00Z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Acrobat PDFMaker 25 for Word</vt:lpwstr>
  </property>
  <property fmtid="{D5CDD505-2E9C-101B-9397-08002B2CF9AE}" pid="4" name="LastSaved">
    <vt:filetime>2025-12-23T00:00:00Z</vt:filetime>
  </property>
  <property fmtid="{D5CDD505-2E9C-101B-9397-08002B2CF9AE}" pid="5" name="Producer">
    <vt:lpwstr>Adobe PDF Library 25.1.211</vt:lpwstr>
  </property>
  <property fmtid="{D5CDD505-2E9C-101B-9397-08002B2CF9AE}" pid="6" name="SourceModified">
    <vt:lpwstr/>
  </property>
  <property fmtid="{D5CDD505-2E9C-101B-9397-08002B2CF9AE}" pid="7" name="ContentTypeId">
    <vt:lpwstr>0x0101009048866EFBF41D498F7CE19998C763D0</vt:lpwstr>
  </property>
  <property fmtid="{D5CDD505-2E9C-101B-9397-08002B2CF9AE}" pid="8" name="MediaServiceImageTags">
    <vt:lpwstr/>
  </property>
  <property fmtid="{D5CDD505-2E9C-101B-9397-08002B2CF9AE}" pid="9" name="docLang">
    <vt:lpwstr>en</vt:lpwstr>
  </property>
  <property fmtid="{D5CDD505-2E9C-101B-9397-08002B2CF9AE}" pid="10" name="GrammarlyDocumentId">
    <vt:lpwstr>c1643f0b-0867-4f97-a57b-33814dab6815</vt:lpwstr>
  </property>
</Properties>
</file>